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0C" w:rsidRDefault="000E0CA9">
      <w:r>
        <w:t>Cronograma 2026</w:t>
      </w:r>
    </w:p>
    <w:p w:rsidR="000E0CA9" w:rsidRDefault="000E0CA9"/>
    <w:tbl>
      <w:tblPr>
        <w:tblStyle w:val="Tablaconcuadrcula"/>
        <w:tblpPr w:leftFromText="141" w:rightFromText="141" w:vertAnchor="page" w:horzAnchor="page" w:tblpX="1789" w:tblpY="2737"/>
        <w:tblW w:w="0" w:type="auto"/>
        <w:tblLook w:val="04A0" w:firstRow="1" w:lastRow="0" w:firstColumn="1" w:lastColumn="0" w:noHBand="0" w:noVBand="1"/>
      </w:tblPr>
      <w:tblGrid>
        <w:gridCol w:w="1821"/>
        <w:gridCol w:w="7552"/>
        <w:gridCol w:w="4621"/>
      </w:tblGrid>
      <w:tr w:rsidR="000E0CA9" w:rsidRPr="00967593" w:rsidTr="00F654D6">
        <w:tc>
          <w:tcPr>
            <w:tcW w:w="1821" w:type="dxa"/>
          </w:tcPr>
          <w:p w:rsidR="000E0CA9" w:rsidRPr="00967593" w:rsidRDefault="000E0CA9" w:rsidP="00F654D6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Clase</w:t>
            </w:r>
          </w:p>
        </w:tc>
        <w:tc>
          <w:tcPr>
            <w:tcW w:w="7552" w:type="dxa"/>
          </w:tcPr>
          <w:p w:rsidR="000E0CA9" w:rsidRPr="00967593" w:rsidRDefault="000E0CA9" w:rsidP="00F654D6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Bibliografía</w:t>
            </w:r>
          </w:p>
        </w:tc>
      </w:tr>
      <w:tr w:rsidR="000E0CA9" w:rsidRPr="00967593" w:rsidTr="00F654D6">
        <w:tc>
          <w:tcPr>
            <w:tcW w:w="1821" w:type="dxa"/>
          </w:tcPr>
          <w:p w:rsidR="000E0CA9" w:rsidRPr="000E0CA9" w:rsidRDefault="000E0CA9" w:rsidP="00F654D6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 – 1</w:t>
            </w:r>
            <w:r w:rsidR="001F5B4F">
              <w:rPr>
                <w:rFonts w:ascii="Arial" w:hAnsi="Arial" w:cs="Arial"/>
              </w:rPr>
              <w:t>2</w:t>
            </w:r>
            <w:r w:rsidRPr="000E0CA9">
              <w:rPr>
                <w:rFonts w:ascii="Arial" w:hAnsi="Arial" w:cs="Arial"/>
              </w:rPr>
              <w:t>/03</w:t>
            </w:r>
          </w:p>
        </w:tc>
        <w:tc>
          <w:tcPr>
            <w:tcW w:w="7552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La determinación social del sujeto, el porqué de las Relaciones humanas.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1.</w:t>
            </w:r>
          </w:p>
        </w:tc>
      </w:tr>
      <w:tr w:rsidR="000E0CA9" w:rsidRPr="00967593" w:rsidTr="00F654D6">
        <w:tc>
          <w:tcPr>
            <w:tcW w:w="1821" w:type="dxa"/>
          </w:tcPr>
          <w:p w:rsidR="000E0CA9" w:rsidRPr="000E0CA9" w:rsidRDefault="000E0CA9" w:rsidP="00F654D6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 xml:space="preserve">2 – </w:t>
            </w:r>
            <w:r w:rsidR="001F5B4F">
              <w:rPr>
                <w:rFonts w:ascii="Arial" w:hAnsi="Arial" w:cs="Arial"/>
              </w:rPr>
              <w:t>19</w:t>
            </w:r>
            <w:r w:rsidRPr="000E0CA9">
              <w:rPr>
                <w:rFonts w:ascii="Arial" w:hAnsi="Arial" w:cs="Arial"/>
              </w:rPr>
              <w:t>/03</w:t>
            </w:r>
          </w:p>
        </w:tc>
        <w:tc>
          <w:tcPr>
            <w:tcW w:w="7552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Necesidades y motivación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1. </w:t>
            </w:r>
          </w:p>
        </w:tc>
      </w:tr>
      <w:tr w:rsidR="000E0CA9" w:rsidRPr="00967593" w:rsidTr="00F654D6">
        <w:tc>
          <w:tcPr>
            <w:tcW w:w="1821" w:type="dxa"/>
          </w:tcPr>
          <w:p w:rsidR="000E0CA9" w:rsidRPr="000E0CA9" w:rsidRDefault="000E0CA9" w:rsidP="00F654D6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3 – 2</w:t>
            </w:r>
            <w:r w:rsidR="001F5B4F">
              <w:rPr>
                <w:rFonts w:ascii="Arial" w:hAnsi="Arial" w:cs="Arial"/>
              </w:rPr>
              <w:t>6</w:t>
            </w:r>
            <w:r w:rsidRPr="000E0CA9">
              <w:rPr>
                <w:rFonts w:ascii="Arial" w:hAnsi="Arial" w:cs="Arial"/>
              </w:rPr>
              <w:t>/03</w:t>
            </w:r>
          </w:p>
        </w:tc>
        <w:tc>
          <w:tcPr>
            <w:tcW w:w="7552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Las relaciones humanas en la familia </w:t>
            </w:r>
            <w:r>
              <w:rPr>
                <w:rFonts w:ascii="Arial" w:hAnsi="Arial" w:cs="Arial"/>
              </w:rPr>
              <w:t>y en la educación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2. </w:t>
            </w:r>
          </w:p>
        </w:tc>
      </w:tr>
      <w:tr w:rsidR="000E0CA9" w:rsidRPr="00967593" w:rsidTr="00F654D6">
        <w:tc>
          <w:tcPr>
            <w:tcW w:w="1821" w:type="dxa"/>
          </w:tcPr>
          <w:p w:rsidR="000E0CA9" w:rsidRPr="000E0CA9" w:rsidRDefault="000E0CA9" w:rsidP="00F654D6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4 – 0</w:t>
            </w:r>
            <w:r w:rsidR="001F5B4F">
              <w:rPr>
                <w:rFonts w:ascii="Arial" w:hAnsi="Arial" w:cs="Arial"/>
              </w:rPr>
              <w:t>2</w:t>
            </w:r>
            <w:r w:rsidRPr="000E0CA9">
              <w:rPr>
                <w:rFonts w:ascii="Arial" w:hAnsi="Arial" w:cs="Arial"/>
              </w:rPr>
              <w:t>/04</w:t>
            </w:r>
          </w:p>
        </w:tc>
        <w:tc>
          <w:tcPr>
            <w:tcW w:w="7552" w:type="dxa"/>
          </w:tcPr>
          <w:p w:rsidR="000E0CA9" w:rsidRPr="00967593" w:rsidRDefault="001F5B4F" w:rsidP="00F654D6">
            <w:pPr>
              <w:rPr>
                <w:rFonts w:ascii="Arial" w:hAnsi="Arial" w:cs="Arial"/>
              </w:rPr>
            </w:pPr>
            <w:r w:rsidRPr="001F5B4F">
              <w:rPr>
                <w:rFonts w:ascii="Arial" w:hAnsi="Arial" w:cs="Arial"/>
                <w:highlight w:val="yellow"/>
              </w:rPr>
              <w:t>FERIADO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</w:p>
        </w:tc>
      </w:tr>
      <w:tr w:rsidR="000E0CA9" w:rsidRPr="00967593" w:rsidTr="00F654D6">
        <w:tc>
          <w:tcPr>
            <w:tcW w:w="1821" w:type="dxa"/>
          </w:tcPr>
          <w:p w:rsidR="000E0CA9" w:rsidRPr="000E0CA9" w:rsidRDefault="000E0CA9" w:rsidP="00F654D6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 xml:space="preserve">5 – </w:t>
            </w:r>
            <w:r w:rsidR="001F5B4F">
              <w:rPr>
                <w:rFonts w:ascii="Arial" w:hAnsi="Arial" w:cs="Arial"/>
              </w:rPr>
              <w:t>09</w:t>
            </w:r>
            <w:r w:rsidRPr="000E0CA9">
              <w:rPr>
                <w:rFonts w:ascii="Arial" w:hAnsi="Arial" w:cs="Arial"/>
              </w:rPr>
              <w:t>/04</w:t>
            </w:r>
          </w:p>
        </w:tc>
        <w:tc>
          <w:tcPr>
            <w:tcW w:w="7552" w:type="dxa"/>
          </w:tcPr>
          <w:p w:rsidR="000E0CA9" w:rsidRPr="00967593" w:rsidRDefault="001F5B4F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organización </w:t>
            </w:r>
          </w:p>
        </w:tc>
        <w:tc>
          <w:tcPr>
            <w:tcW w:w="4621" w:type="dxa"/>
          </w:tcPr>
          <w:p w:rsidR="000E0CA9" w:rsidRPr="00967593" w:rsidRDefault="000E0CA9" w:rsidP="00F654D6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3.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6 – 1</w:t>
            </w:r>
            <w:r>
              <w:rPr>
                <w:rFonts w:ascii="Arial" w:hAnsi="Arial" w:cs="Arial"/>
              </w:rPr>
              <w:t>6</w:t>
            </w:r>
            <w:r w:rsidRPr="000E0CA9">
              <w:rPr>
                <w:rFonts w:ascii="Arial" w:hAnsi="Arial" w:cs="Arial"/>
              </w:rPr>
              <w:t>/04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 xml:space="preserve">7 – </w:t>
            </w:r>
            <w:r>
              <w:rPr>
                <w:rFonts w:ascii="Arial" w:hAnsi="Arial" w:cs="Arial"/>
              </w:rPr>
              <w:t>23</w:t>
            </w:r>
            <w:r w:rsidRPr="000E0CA9">
              <w:rPr>
                <w:rFonts w:ascii="Arial" w:hAnsi="Arial" w:cs="Arial"/>
              </w:rPr>
              <w:t>/04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y cultura organizacional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3.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 xml:space="preserve">8 – </w:t>
            </w:r>
            <w:r>
              <w:rPr>
                <w:rFonts w:ascii="Arial" w:hAnsi="Arial" w:cs="Arial"/>
              </w:rPr>
              <w:t>30</w:t>
            </w:r>
            <w:r w:rsidRPr="000E0CA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Escuelas</w:t>
            </w:r>
            <w:r>
              <w:rPr>
                <w:rFonts w:ascii="Arial" w:hAnsi="Arial" w:cs="Arial"/>
              </w:rPr>
              <w:t xml:space="preserve"> – Análisis organizacional 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9 – 0</w:t>
            </w:r>
            <w:r>
              <w:rPr>
                <w:rFonts w:ascii="Arial" w:hAnsi="Arial" w:cs="Arial"/>
              </w:rPr>
              <w:t>7</w:t>
            </w:r>
            <w:r w:rsidRPr="000E0CA9">
              <w:rPr>
                <w:rFonts w:ascii="Arial" w:hAnsi="Arial" w:cs="Arial"/>
              </w:rPr>
              <w:t>/05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y subjetividad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-Unidad 4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10 – 1</w:t>
            </w:r>
            <w:r>
              <w:rPr>
                <w:rFonts w:ascii="Arial" w:hAnsi="Arial" w:cs="Arial"/>
              </w:rPr>
              <w:t>4</w:t>
            </w:r>
            <w:r w:rsidRPr="000E0CA9">
              <w:rPr>
                <w:rFonts w:ascii="Arial" w:hAnsi="Arial" w:cs="Arial"/>
              </w:rPr>
              <w:t>/05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Parcial</w:t>
            </w:r>
            <w:bookmarkStart w:id="0" w:name="_GoBack"/>
            <w:bookmarkEnd w:id="0"/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0E0CA9">
        <w:trPr>
          <w:trHeight w:val="77"/>
        </w:trPr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11 – 2</w:t>
            </w:r>
            <w:r>
              <w:rPr>
                <w:rFonts w:ascii="Arial" w:hAnsi="Arial" w:cs="Arial"/>
              </w:rPr>
              <w:t>1</w:t>
            </w:r>
            <w:r w:rsidRPr="000E0CA9">
              <w:rPr>
                <w:rFonts w:ascii="Arial" w:hAnsi="Arial" w:cs="Arial"/>
              </w:rPr>
              <w:t>/05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  <w:r w:rsidRPr="001F5B4F">
              <w:rPr>
                <w:rFonts w:ascii="Arial" w:hAnsi="Arial" w:cs="Arial"/>
                <w:highlight w:val="yellow"/>
              </w:rPr>
              <w:t>MESAS DE EXAMEN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12 – 2</w:t>
            </w:r>
            <w:r>
              <w:rPr>
                <w:rFonts w:ascii="Arial" w:hAnsi="Arial" w:cs="Arial"/>
              </w:rPr>
              <w:t>8</w:t>
            </w:r>
            <w:r w:rsidRPr="000E0CA9">
              <w:rPr>
                <w:rFonts w:ascii="Arial" w:hAnsi="Arial" w:cs="Arial"/>
              </w:rPr>
              <w:t>/05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Empleabilidad y determinantes: competencias y perfil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4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13 – 0</w:t>
            </w:r>
            <w:r>
              <w:rPr>
                <w:rFonts w:ascii="Arial" w:hAnsi="Arial" w:cs="Arial"/>
              </w:rPr>
              <w:t>4</w:t>
            </w:r>
            <w:r w:rsidRPr="000E0CA9">
              <w:rPr>
                <w:rFonts w:ascii="Arial" w:hAnsi="Arial" w:cs="Arial"/>
              </w:rPr>
              <w:t>/06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Recuperatorio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F654D6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14 – 1</w:t>
            </w:r>
            <w:r>
              <w:rPr>
                <w:rFonts w:ascii="Arial" w:hAnsi="Arial" w:cs="Arial"/>
              </w:rPr>
              <w:t>1</w:t>
            </w:r>
            <w:r w:rsidRPr="000E0CA9">
              <w:rPr>
                <w:rFonts w:ascii="Arial" w:hAnsi="Arial" w:cs="Arial"/>
              </w:rPr>
              <w:t>/06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Satisfacción en el trabajo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-Unidad 4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15 – 1</w:t>
            </w:r>
            <w:r>
              <w:rPr>
                <w:rFonts w:ascii="Arial" w:hAnsi="Arial" w:cs="Arial"/>
              </w:rPr>
              <w:t>8</w:t>
            </w:r>
            <w:r w:rsidRPr="000E0CA9">
              <w:rPr>
                <w:rFonts w:ascii="Arial" w:hAnsi="Arial" w:cs="Arial"/>
              </w:rPr>
              <w:t>/06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conflicto y estrés</w:t>
            </w:r>
            <w:r>
              <w:rPr>
                <w:rFonts w:ascii="Arial" w:hAnsi="Arial" w:cs="Arial"/>
              </w:rPr>
              <w:t xml:space="preserve"> laboral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4 </w:t>
            </w: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16 – 2</w:t>
            </w:r>
            <w:r>
              <w:rPr>
                <w:rFonts w:ascii="Arial" w:hAnsi="Arial" w:cs="Arial"/>
              </w:rPr>
              <w:t>5</w:t>
            </w:r>
            <w:r w:rsidRPr="000E0CA9">
              <w:rPr>
                <w:rFonts w:ascii="Arial" w:hAnsi="Arial" w:cs="Arial"/>
              </w:rPr>
              <w:t>/06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TP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  <w:tr w:rsidR="001F5B4F" w:rsidRPr="00967593" w:rsidTr="000E0CA9">
        <w:tc>
          <w:tcPr>
            <w:tcW w:w="1821" w:type="dxa"/>
          </w:tcPr>
          <w:p w:rsidR="001F5B4F" w:rsidRPr="000E0CA9" w:rsidRDefault="001F5B4F" w:rsidP="001F5B4F">
            <w:pPr>
              <w:jc w:val="center"/>
              <w:rPr>
                <w:rFonts w:ascii="Arial" w:hAnsi="Arial" w:cs="Arial"/>
              </w:rPr>
            </w:pPr>
            <w:r w:rsidRPr="000E0CA9">
              <w:rPr>
                <w:rFonts w:ascii="Arial" w:hAnsi="Arial" w:cs="Arial"/>
              </w:rPr>
              <w:t>17 – 0</w:t>
            </w:r>
            <w:r>
              <w:rPr>
                <w:rFonts w:ascii="Arial" w:hAnsi="Arial" w:cs="Arial"/>
              </w:rPr>
              <w:t>2</w:t>
            </w:r>
            <w:r w:rsidRPr="000E0CA9">
              <w:rPr>
                <w:rFonts w:ascii="Arial" w:hAnsi="Arial" w:cs="Arial"/>
              </w:rPr>
              <w:t>/07</w:t>
            </w:r>
          </w:p>
        </w:tc>
        <w:tc>
          <w:tcPr>
            <w:tcW w:w="7552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Cierre –- Consulta y repaso</w:t>
            </w:r>
          </w:p>
        </w:tc>
        <w:tc>
          <w:tcPr>
            <w:tcW w:w="4621" w:type="dxa"/>
            <w:shd w:val="clear" w:color="auto" w:fill="auto"/>
          </w:tcPr>
          <w:p w:rsidR="001F5B4F" w:rsidRPr="00967593" w:rsidRDefault="001F5B4F" w:rsidP="001F5B4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0CA9" w:rsidRDefault="000E0CA9"/>
    <w:sectPr w:rsidR="000E0CA9" w:rsidSect="000E0C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A9"/>
    <w:rsid w:val="000E0CA9"/>
    <w:rsid w:val="001F5B4F"/>
    <w:rsid w:val="008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59CC"/>
  <w15:chartTrackingRefBased/>
  <w15:docId w15:val="{4D30BC7D-CB8C-4612-B034-27347DD3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1</cp:revision>
  <dcterms:created xsi:type="dcterms:W3CDTF">2026-03-10T13:43:00Z</dcterms:created>
  <dcterms:modified xsi:type="dcterms:W3CDTF">2026-03-10T14:00:00Z</dcterms:modified>
</cp:coreProperties>
</file>