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-nfasis2"/>
        <w:tblW w:w="5000" w:type="pct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6" w:space="0" w:color="7030A0"/>
          <w:insideV w:val="single" w:sz="6" w:space="0" w:color="7030A0"/>
        </w:tblBorders>
        <w:tblLook w:val="04A0"/>
      </w:tblPr>
      <w:tblGrid>
        <w:gridCol w:w="2426"/>
        <w:gridCol w:w="6295"/>
      </w:tblGrid>
      <w:tr w:rsidR="008919C0" w:rsidRPr="003D2BEB" w:rsidTr="00056538">
        <w:trPr>
          <w:cnfStyle w:val="100000000000"/>
        </w:trPr>
        <w:tc>
          <w:tcPr>
            <w:cnfStyle w:val="001000000000"/>
            <w:tcW w:w="5000" w:type="pct"/>
            <w:gridSpan w:val="2"/>
            <w:shd w:val="clear" w:color="auto" w:fill="7030A0"/>
          </w:tcPr>
          <w:p w:rsidR="008919C0" w:rsidRPr="000A1FBD" w:rsidRDefault="008919C0" w:rsidP="00E6081D">
            <w:pPr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A1FBD">
              <w:rPr>
                <w:rFonts w:asciiTheme="minorHAnsi" w:hAnsiTheme="minorHAnsi"/>
                <w:b w:val="0"/>
                <w:sz w:val="32"/>
                <w:szCs w:val="22"/>
              </w:rPr>
              <w:t>PLANIFICACIÓN DE CÁTEDRA – AÑO 20</w:t>
            </w:r>
            <w:r w:rsidR="00E6081D">
              <w:rPr>
                <w:rFonts w:asciiTheme="minorHAnsi" w:hAnsiTheme="minorHAnsi"/>
                <w:b w:val="0"/>
                <w:sz w:val="32"/>
                <w:szCs w:val="22"/>
              </w:rPr>
              <w:t>2</w:t>
            </w:r>
            <w:r w:rsidR="00B65DAA">
              <w:rPr>
                <w:rFonts w:asciiTheme="minorHAnsi" w:hAnsiTheme="minorHAnsi"/>
                <w:b w:val="0"/>
                <w:sz w:val="32"/>
                <w:szCs w:val="22"/>
              </w:rPr>
              <w:t>6</w:t>
            </w:r>
          </w:p>
        </w:tc>
      </w:tr>
      <w:tr w:rsidR="003D2BEB" w:rsidRPr="003D2BEB" w:rsidTr="00056538">
        <w:trPr>
          <w:cnfStyle w:val="000000100000"/>
        </w:trPr>
        <w:tc>
          <w:tcPr>
            <w:cnfStyle w:val="001000000000"/>
            <w:tcW w:w="139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D2BEB" w:rsidRPr="003D2BEB" w:rsidRDefault="003D2BEB" w:rsidP="003D3E5F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Carrera:</w:t>
            </w:r>
          </w:p>
        </w:tc>
        <w:tc>
          <w:tcPr>
            <w:tcW w:w="360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D2BEB" w:rsidRPr="003D2BEB" w:rsidRDefault="00056538" w:rsidP="007022AC">
            <w:pPr>
              <w:ind w:right="298"/>
              <w:cnfStyle w:val="0000001000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Licenciatura en</w:t>
            </w:r>
            <w:r w:rsidR="00E85082">
              <w:rPr>
                <w:rFonts w:asciiTheme="minorHAnsi" w:hAnsiTheme="minorHAnsi"/>
                <w:b/>
                <w:sz w:val="22"/>
                <w:szCs w:val="22"/>
              </w:rPr>
              <w:t>Higiene y Seguridad en el Trabajo</w:t>
            </w:r>
          </w:p>
        </w:tc>
      </w:tr>
      <w:tr w:rsidR="003D2BEB" w:rsidRPr="003D2BEB" w:rsidTr="00056538">
        <w:tc>
          <w:tcPr>
            <w:cnfStyle w:val="001000000000"/>
            <w:tcW w:w="1391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Asignatura:</w:t>
            </w:r>
          </w:p>
        </w:tc>
        <w:tc>
          <w:tcPr>
            <w:tcW w:w="3609" w:type="pct"/>
          </w:tcPr>
          <w:p w:rsidR="003D2BEB" w:rsidRPr="003D2BEB" w:rsidRDefault="0093752C" w:rsidP="00D823C2">
            <w:pPr>
              <w:ind w:right="298"/>
              <w:cnfStyle w:val="0000000000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Toxicología Laboral</w:t>
            </w:r>
          </w:p>
        </w:tc>
      </w:tr>
      <w:tr w:rsidR="003D2BEB" w:rsidRPr="003D2BEB" w:rsidTr="00056538">
        <w:trPr>
          <w:cnfStyle w:val="000000100000"/>
        </w:trPr>
        <w:tc>
          <w:tcPr>
            <w:cnfStyle w:val="001000000000"/>
            <w:tcW w:w="139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D2BEB" w:rsidRPr="003D2BEB" w:rsidRDefault="003D2BEB" w:rsidP="003D3E5F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Régimen de cursado:</w:t>
            </w:r>
          </w:p>
        </w:tc>
        <w:tc>
          <w:tcPr>
            <w:tcW w:w="360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D2BEB" w:rsidRPr="0093752C" w:rsidRDefault="0093752C" w:rsidP="00D823C2">
            <w:pPr>
              <w:ind w:right="298"/>
              <w:cnfStyle w:val="0000001000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er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cuatrimestre – Modalidad Presencial mediada por Tecnologías.</w:t>
            </w:r>
          </w:p>
        </w:tc>
      </w:tr>
      <w:tr w:rsidR="003D2BEB" w:rsidRPr="003D2BEB" w:rsidTr="00056538">
        <w:tc>
          <w:tcPr>
            <w:cnfStyle w:val="001000000000"/>
            <w:tcW w:w="1391" w:type="pct"/>
          </w:tcPr>
          <w:p w:rsidR="003D2BEB" w:rsidRPr="003D2BEB" w:rsidRDefault="003D2BEB" w:rsidP="003D3E5F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Carga horaria anual:</w:t>
            </w:r>
          </w:p>
        </w:tc>
        <w:tc>
          <w:tcPr>
            <w:tcW w:w="3609" w:type="pct"/>
          </w:tcPr>
          <w:p w:rsidR="003D2BEB" w:rsidRPr="003D2BEB" w:rsidRDefault="0093752C" w:rsidP="00D823C2">
            <w:pPr>
              <w:ind w:right="298"/>
              <w:cnfStyle w:val="0000000000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48 horas</w:t>
            </w:r>
          </w:p>
        </w:tc>
      </w:tr>
      <w:tr w:rsidR="003D2BEB" w:rsidRPr="003D2BEB" w:rsidTr="00056538">
        <w:trPr>
          <w:cnfStyle w:val="000000100000"/>
        </w:trPr>
        <w:tc>
          <w:tcPr>
            <w:cnfStyle w:val="001000000000"/>
            <w:tcW w:w="139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D2BEB" w:rsidRPr="003D2BEB" w:rsidRDefault="003D2BEB" w:rsidP="003D3E5F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Carga horaria semanal:</w:t>
            </w:r>
          </w:p>
        </w:tc>
        <w:tc>
          <w:tcPr>
            <w:tcW w:w="360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D2BEB" w:rsidRPr="003D2BEB" w:rsidRDefault="0093752C" w:rsidP="00D823C2">
            <w:pPr>
              <w:ind w:right="298"/>
              <w:cnfStyle w:val="0000001000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 horas cátedras</w:t>
            </w:r>
          </w:p>
        </w:tc>
      </w:tr>
      <w:tr w:rsidR="003D2BEB" w:rsidRPr="003D2BEB" w:rsidTr="00056538">
        <w:tc>
          <w:tcPr>
            <w:cnfStyle w:val="001000000000"/>
            <w:tcW w:w="1391" w:type="pct"/>
          </w:tcPr>
          <w:p w:rsidR="003D2BEB" w:rsidRPr="003D2BEB" w:rsidRDefault="003D2BEB" w:rsidP="003D2BEB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Correlatividades</w:t>
            </w:r>
          </w:p>
          <w:p w:rsidR="003D2BEB" w:rsidRPr="003D2BEB" w:rsidRDefault="003D2BEB" w:rsidP="003D2BEB">
            <w:pPr>
              <w:ind w:left="708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Para Cursar:</w:t>
            </w:r>
          </w:p>
          <w:p w:rsidR="0093752C" w:rsidRDefault="0093752C" w:rsidP="003D2BEB">
            <w:pPr>
              <w:ind w:left="708"/>
              <w:rPr>
                <w:rFonts w:asciiTheme="minorHAnsi" w:hAnsiTheme="minorHAnsi"/>
                <w:sz w:val="22"/>
                <w:szCs w:val="22"/>
              </w:rPr>
            </w:pPr>
          </w:p>
          <w:p w:rsidR="003D2BEB" w:rsidRPr="003D2BEB" w:rsidRDefault="003D2BEB" w:rsidP="003D2BEB">
            <w:pPr>
              <w:ind w:left="708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Para Rendir:</w:t>
            </w:r>
          </w:p>
        </w:tc>
        <w:tc>
          <w:tcPr>
            <w:tcW w:w="3609" w:type="pct"/>
          </w:tcPr>
          <w:p w:rsidR="00D823C2" w:rsidRDefault="00D823C2" w:rsidP="00D823C2">
            <w:pPr>
              <w:ind w:right="298"/>
              <w:cnfStyle w:val="00000000000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573BB" w:rsidRDefault="0093752C" w:rsidP="00D823C2">
            <w:pPr>
              <w:ind w:right="298"/>
              <w:cnfStyle w:val="0000000000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Debe tener regularizada Química y Conocimineto de los Materiales.</w:t>
            </w:r>
          </w:p>
          <w:p w:rsidR="002573BB" w:rsidRPr="003D2BEB" w:rsidRDefault="0093752C" w:rsidP="00D823C2">
            <w:pPr>
              <w:ind w:right="298"/>
              <w:cnfStyle w:val="0000000000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Debe tener aprobada Química y Conocimiento de los Materiales.</w:t>
            </w:r>
          </w:p>
        </w:tc>
      </w:tr>
      <w:tr w:rsidR="003D2BEB" w:rsidRPr="003D2BEB" w:rsidTr="00056538">
        <w:trPr>
          <w:cnfStyle w:val="000000100000"/>
        </w:trPr>
        <w:tc>
          <w:tcPr>
            <w:cnfStyle w:val="001000000000"/>
            <w:tcW w:w="139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D2BEB" w:rsidRPr="003D2BEB" w:rsidRDefault="003D2BEB" w:rsidP="003D3E5F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Profesor responsable:</w:t>
            </w:r>
          </w:p>
        </w:tc>
        <w:tc>
          <w:tcPr>
            <w:tcW w:w="360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D2BEB" w:rsidRPr="003D2BEB" w:rsidRDefault="00074BD5" w:rsidP="00D823C2">
            <w:pPr>
              <w:ind w:right="298"/>
              <w:cnfStyle w:val="0000001000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Ing Agr. </w:t>
            </w:r>
            <w:r w:rsidR="0093752C">
              <w:rPr>
                <w:rFonts w:asciiTheme="minorHAnsi" w:hAnsiTheme="minorHAnsi"/>
                <w:b/>
                <w:sz w:val="22"/>
                <w:szCs w:val="22"/>
              </w:rPr>
              <w:t xml:space="preserve">Sonia Miño </w:t>
            </w:r>
          </w:p>
        </w:tc>
      </w:tr>
      <w:tr w:rsidR="003D2BEB" w:rsidRPr="003D2BEB" w:rsidTr="00056538">
        <w:tc>
          <w:tcPr>
            <w:cnfStyle w:val="001000000000"/>
            <w:tcW w:w="5000" w:type="pct"/>
            <w:gridSpan w:val="2"/>
          </w:tcPr>
          <w:p w:rsidR="003D2BEB" w:rsidRPr="00FF6713" w:rsidRDefault="003D2BEB" w:rsidP="00FF6713">
            <w:pPr>
              <w:pStyle w:val="Prrafodelista"/>
              <w:numPr>
                <w:ilvl w:val="0"/>
                <w:numId w:val="8"/>
              </w:numPr>
              <w:spacing w:after="240"/>
              <w:ind w:left="714" w:right="301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Fundamentación de la asignatura</w:t>
            </w:r>
          </w:p>
          <w:p w:rsidR="009356E6" w:rsidRPr="009356E6" w:rsidRDefault="009356E6" w:rsidP="009356E6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356E6">
              <w:rPr>
                <w:rFonts w:asciiTheme="minorHAnsi" w:hAnsiTheme="minorHAnsi" w:cstheme="minorHAnsi"/>
                <w:b w:val="0"/>
                <w:sz w:val="22"/>
                <w:szCs w:val="22"/>
              </w:rPr>
              <w:t>La Toxicología Laboral constituye un área fundamental en la formación del profesional en Higiene y Seguridad, ya que permite comprender los efectos de los agentes químicos presentes en el ambiente laboral sobre la salud de los trabajadores.</w:t>
            </w:r>
          </w:p>
          <w:p w:rsidR="009356E6" w:rsidRPr="009356E6" w:rsidRDefault="009356E6" w:rsidP="009356E6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356E6">
              <w:rPr>
                <w:rFonts w:asciiTheme="minorHAnsi" w:hAnsiTheme="minorHAnsi" w:cstheme="minorHAnsi"/>
                <w:b w:val="0"/>
                <w:sz w:val="22"/>
                <w:szCs w:val="22"/>
              </w:rPr>
              <w:t>Esta asignatura brinda herramientas para identificar, evaluar y prevenir riesgos químicos, promoviendo la protección de la salud ocupacional y el desarrollo de ambientes de trabajo seguros.</w:t>
            </w:r>
          </w:p>
          <w:p w:rsidR="00D823C2" w:rsidRPr="009356E6" w:rsidRDefault="009356E6" w:rsidP="009356E6">
            <w:pPr>
              <w:spacing w:after="120"/>
              <w:ind w:right="30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D823C2" w:rsidRPr="009356E6">
              <w:rPr>
                <w:rFonts w:asciiTheme="minorHAnsi" w:hAnsiTheme="minorHAnsi"/>
                <w:sz w:val="22"/>
                <w:szCs w:val="22"/>
              </w:rPr>
              <w:t>Objetivos de la materia</w:t>
            </w:r>
          </w:p>
          <w:p w:rsidR="00D823C2" w:rsidRPr="003D2BEB" w:rsidRDefault="00D823C2" w:rsidP="002573BB">
            <w:pPr>
              <w:pStyle w:val="Prrafodelista"/>
              <w:ind w:right="298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3718F0" w:rsidRPr="003718F0" w:rsidRDefault="00D823C2" w:rsidP="002573BB">
            <w:pPr>
              <w:pStyle w:val="Prrafodelista"/>
              <w:numPr>
                <w:ilvl w:val="0"/>
                <w:numId w:val="6"/>
              </w:numPr>
              <w:ind w:right="29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Generales</w:t>
            </w:r>
            <w:r w:rsidR="008C16F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C16F8" w:rsidRPr="003718F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8C16F8" w:rsidRPr="003718F0" w:rsidRDefault="003718F0" w:rsidP="003718F0">
            <w:pPr>
              <w:pStyle w:val="Prrafodelista"/>
              <w:numPr>
                <w:ilvl w:val="0"/>
                <w:numId w:val="11"/>
              </w:numPr>
              <w:ind w:right="29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18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718F0">
              <w:rPr>
                <w:rFonts w:asciiTheme="minorHAnsi" w:hAnsiTheme="minorHAnsi" w:cstheme="minorHAnsi"/>
                <w:b w:val="0"/>
                <w:sz w:val="22"/>
                <w:szCs w:val="22"/>
              </w:rPr>
              <w:t>Brindar al estudiante los fundamentos teóricos y prácticos de la toxicología laboral que le permitan identificar, evaluar y prevenir riesgos derivados de la exposición a agentes químicos en el ámbito laboral, promoviendo la toma de decisiones fundamentadas en criterios científicos y normativos vigentes.</w:t>
            </w:r>
          </w:p>
          <w:p w:rsidR="008C16F8" w:rsidRDefault="00D823C2" w:rsidP="009356E6">
            <w:pPr>
              <w:pStyle w:val="Prrafodelista"/>
              <w:numPr>
                <w:ilvl w:val="0"/>
                <w:numId w:val="6"/>
              </w:numPr>
              <w:ind w:right="298"/>
              <w:rPr>
                <w:rFonts w:asciiTheme="minorHAnsi" w:hAnsiTheme="minorHAnsi"/>
                <w:sz w:val="22"/>
                <w:szCs w:val="22"/>
              </w:rPr>
            </w:pPr>
            <w:r w:rsidRPr="008C16F8">
              <w:rPr>
                <w:rFonts w:asciiTheme="minorHAnsi" w:hAnsiTheme="minorHAnsi"/>
                <w:sz w:val="22"/>
                <w:szCs w:val="22"/>
              </w:rPr>
              <w:t>Específicos</w:t>
            </w:r>
            <w:r w:rsidR="008C16F8">
              <w:rPr>
                <w:rFonts w:asciiTheme="minorHAnsi" w:hAnsiTheme="minorHAnsi"/>
                <w:sz w:val="22"/>
                <w:szCs w:val="22"/>
              </w:rPr>
              <w:t xml:space="preserve">:  </w:t>
            </w:r>
          </w:p>
          <w:p w:rsidR="003718F0" w:rsidRPr="003718F0" w:rsidRDefault="003718F0" w:rsidP="003718F0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18F0">
              <w:rPr>
                <w:rFonts w:asciiTheme="minorHAnsi" w:hAnsiTheme="minorHAnsi" w:cstheme="minorHAnsi"/>
                <w:b w:val="0"/>
                <w:sz w:val="22"/>
                <w:szCs w:val="22"/>
              </w:rPr>
              <w:t>Comprender los principios básicos de la toxicología general y su aplicación en el campo laboral.</w:t>
            </w:r>
          </w:p>
          <w:p w:rsidR="003718F0" w:rsidRPr="003718F0" w:rsidRDefault="003718F0" w:rsidP="003718F0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18F0">
              <w:rPr>
                <w:rFonts w:asciiTheme="minorHAnsi" w:hAnsiTheme="minorHAnsi" w:cstheme="minorHAnsi"/>
                <w:b w:val="0"/>
                <w:sz w:val="22"/>
                <w:szCs w:val="22"/>
              </w:rPr>
              <w:t>Analizar los mecanismos de acción, vías de ingreso y efectos de los agentes tóxicos sobre el organismo.</w:t>
            </w:r>
          </w:p>
          <w:p w:rsidR="003718F0" w:rsidRPr="003718F0" w:rsidRDefault="003718F0" w:rsidP="003718F0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18F0">
              <w:rPr>
                <w:rFonts w:asciiTheme="minorHAnsi" w:hAnsiTheme="minorHAnsi" w:cstheme="minorHAnsi"/>
                <w:b w:val="0"/>
                <w:sz w:val="22"/>
                <w:szCs w:val="22"/>
              </w:rPr>
              <w:t>Identificar los riesgos asociados a sustancias químicas presentes en ambientes laborales.</w:t>
            </w:r>
          </w:p>
          <w:p w:rsidR="003718F0" w:rsidRPr="003718F0" w:rsidRDefault="003718F0" w:rsidP="003718F0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18F0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Interpretar límites de exposición y normativas vigentes en higiene y seguridad.</w:t>
            </w:r>
          </w:p>
          <w:p w:rsidR="003718F0" w:rsidRPr="003718F0" w:rsidRDefault="003718F0" w:rsidP="003718F0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18F0">
              <w:rPr>
                <w:rFonts w:asciiTheme="minorHAnsi" w:hAnsiTheme="minorHAnsi" w:cstheme="minorHAnsi"/>
                <w:b w:val="0"/>
                <w:sz w:val="22"/>
                <w:szCs w:val="22"/>
              </w:rPr>
              <w:t>Aplicar herramientas para la prevención, control y monitoreo de la exposición a tóxicos industriales.</w:t>
            </w:r>
          </w:p>
          <w:p w:rsidR="00611CEB" w:rsidRPr="003718F0" w:rsidRDefault="003718F0" w:rsidP="003718F0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718F0">
              <w:rPr>
                <w:rFonts w:asciiTheme="minorHAnsi" w:hAnsiTheme="minorHAnsi" w:cstheme="minorHAnsi"/>
                <w:b w:val="0"/>
                <w:sz w:val="22"/>
                <w:szCs w:val="22"/>
              </w:rPr>
              <w:t>Desarrollar criterios para la actuación ante situaciones de intoxicación laboral.</w:t>
            </w:r>
          </w:p>
        </w:tc>
      </w:tr>
      <w:tr w:rsidR="003D2BEB" w:rsidRPr="003D2BEB" w:rsidTr="00056538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1731E" w:rsidRPr="008C16F8" w:rsidRDefault="003D2BEB" w:rsidP="008C16F8">
            <w:pPr>
              <w:pStyle w:val="Prrafodelista"/>
              <w:numPr>
                <w:ilvl w:val="0"/>
                <w:numId w:val="8"/>
              </w:numPr>
              <w:spacing w:after="240"/>
              <w:ind w:left="714" w:right="301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Programa sintético </w:t>
            </w:r>
            <w:r w:rsidR="00D823C2">
              <w:rPr>
                <w:rFonts w:asciiTheme="minorHAnsi" w:hAnsiTheme="minorHAnsi"/>
                <w:sz w:val="22"/>
                <w:szCs w:val="22"/>
              </w:rPr>
              <w:t>– Contenidos mínimos</w:t>
            </w:r>
            <w:r w:rsidR="008C16F8">
              <w:rPr>
                <w:rFonts w:asciiTheme="minorHAnsi" w:hAnsiTheme="minorHAnsi"/>
                <w:sz w:val="22"/>
                <w:szCs w:val="22"/>
              </w:rPr>
              <w:t xml:space="preserve"> según plan de estudio.</w:t>
            </w:r>
          </w:p>
          <w:p w:rsidR="0031731E" w:rsidRPr="0031731E" w:rsidRDefault="0031731E" w:rsidP="0031731E">
            <w:pPr>
              <w:spacing w:after="240"/>
              <w:ind w:right="30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- La toxicología laboral</w:t>
            </w:r>
            <w:r w:rsidR="00147A52">
              <w:rPr>
                <w:rFonts w:asciiTheme="minorHAnsi" w:hAnsiTheme="minorHAnsi"/>
                <w:b w:val="0"/>
                <w:sz w:val="22"/>
                <w:szCs w:val="22"/>
              </w:rPr>
              <w:t xml:space="preserve">: </w:t>
            </w: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Concepto y reseña histórica.</w:t>
            </w:r>
            <w:r w:rsidR="00147A52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Toxicocinética: vías de absorción, metabolismo y excreción.</w:t>
            </w:r>
            <w:r w:rsidR="00147A52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Factores que condicionan a la acción de los tóxicos industriales, potenciación,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sinergismo.</w:t>
            </w:r>
          </w:p>
          <w:p w:rsidR="0031731E" w:rsidRPr="0031731E" w:rsidRDefault="0031731E" w:rsidP="0031731E">
            <w:pPr>
              <w:spacing w:after="240"/>
              <w:ind w:right="30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- Tipos de toxicidad</w:t>
            </w:r>
            <w:r w:rsidR="00147A52">
              <w:rPr>
                <w:rFonts w:asciiTheme="minorHAnsi" w:hAnsiTheme="minorHAnsi"/>
                <w:b w:val="0"/>
                <w:sz w:val="22"/>
                <w:szCs w:val="22"/>
              </w:rPr>
              <w:t xml:space="preserve">: </w:t>
            </w: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Toxicidad aguda, sub-aguda y crónica. Limites biológicos máximos permisibles, su elaboración.</w:t>
            </w:r>
          </w:p>
          <w:p w:rsidR="0031731E" w:rsidRPr="0031731E" w:rsidRDefault="0031731E" w:rsidP="0031731E">
            <w:pPr>
              <w:spacing w:after="240"/>
              <w:ind w:right="30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- La toxicología y sus riesgos</w:t>
            </w:r>
            <w:r w:rsidR="00147A52">
              <w:rPr>
                <w:rFonts w:asciiTheme="minorHAnsi" w:hAnsiTheme="minorHAnsi"/>
                <w:b w:val="0"/>
                <w:sz w:val="22"/>
                <w:szCs w:val="22"/>
              </w:rPr>
              <w:t xml:space="preserve">: </w:t>
            </w: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Toxicología de los metales, riesgos asociados.</w:t>
            </w:r>
          </w:p>
          <w:p w:rsidR="0031731E" w:rsidRPr="0031731E" w:rsidRDefault="0031731E" w:rsidP="0031731E">
            <w:pPr>
              <w:spacing w:after="240"/>
              <w:ind w:right="30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- Toxicología de los alcoholes, aldehídos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y cet</w:t>
            </w: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onas, riesgos asociados.</w:t>
            </w:r>
          </w:p>
          <w:p w:rsidR="0031731E" w:rsidRPr="0031731E" w:rsidRDefault="0031731E" w:rsidP="0031731E">
            <w:pPr>
              <w:spacing w:after="240"/>
              <w:ind w:right="30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Toxicología de los hidrocarburos, riesgos asociados, gases tóxicos, riesgos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asociados.</w:t>
            </w:r>
          </w:p>
          <w:p w:rsidR="0031731E" w:rsidRPr="0031731E" w:rsidRDefault="0031731E" w:rsidP="0031731E">
            <w:pPr>
              <w:spacing w:after="240"/>
              <w:ind w:right="30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- Toxicología de ácidos y bases, riesgos asociados.</w:t>
            </w:r>
          </w:p>
          <w:p w:rsidR="0031731E" w:rsidRPr="0031731E" w:rsidRDefault="0031731E" w:rsidP="0031731E">
            <w:pPr>
              <w:spacing w:after="240"/>
              <w:ind w:right="30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>- Toxicología de agroquímico, riesgos asociados.</w:t>
            </w:r>
          </w:p>
          <w:p w:rsidR="00D823C2" w:rsidRPr="0031731E" w:rsidRDefault="0031731E" w:rsidP="0031731E">
            <w:pPr>
              <w:spacing w:after="240"/>
              <w:ind w:right="301"/>
              <w:rPr>
                <w:rFonts w:asciiTheme="minorHAnsi" w:hAnsiTheme="minorHAnsi"/>
                <w:sz w:val="22"/>
                <w:szCs w:val="22"/>
              </w:rPr>
            </w:pPr>
            <w:r w:rsidRPr="0031731E">
              <w:rPr>
                <w:rFonts w:asciiTheme="minorHAnsi" w:hAnsiTheme="minorHAnsi"/>
                <w:b w:val="0"/>
                <w:sz w:val="22"/>
                <w:szCs w:val="22"/>
              </w:rPr>
              <w:t xml:space="preserve"> - Primeros auxilios.</w:t>
            </w:r>
          </w:p>
        </w:tc>
      </w:tr>
      <w:tr w:rsidR="003D2BEB" w:rsidRPr="003D2BEB" w:rsidTr="00056538">
        <w:tc>
          <w:tcPr>
            <w:cnfStyle w:val="001000000000"/>
            <w:tcW w:w="5000" w:type="pct"/>
            <w:gridSpan w:val="2"/>
          </w:tcPr>
          <w:p w:rsidR="003D2BEB" w:rsidRDefault="003D2BEB" w:rsidP="00097CAF">
            <w:pPr>
              <w:pStyle w:val="Prrafodelista"/>
              <w:numPr>
                <w:ilvl w:val="0"/>
                <w:numId w:val="8"/>
              </w:numPr>
              <w:spacing w:after="240"/>
              <w:ind w:left="714" w:right="301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 xml:space="preserve">Programa analítico 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1: INTRODUCCIÓN A LA TOXICOLOGÍA LABORAL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Concepto, alcance e importancia de la toxicología laboral.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Áreas de la toxicología. Evolución histórica de la disciplina.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Rol del profesional en higiene y seguridad frente al riesgo químico.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Relación entre toxicología laboral, salud ocupacional e higiene industrial.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Concepto de agente contaminante en el ambiente de trabajo.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2: PRINCIPIOS GENERALES DE TOXICOLOGÍA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Definición de contaminantes químicos, físicos y biológicos.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Conceptos de toxicidad, dosis, concentración, intoxicación y órgano blanco.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Relación dosis–respuesta. DL, DL50, CL y CL50.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Tipos de toxicidad: aguda, subaguda, subcrónica y crónica.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Efectos combinados de los tóxicos: adición, sinergismo, potenciación y antagonismo.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Clasificación de sustancias según efectos tóxicos: irritantes, asfixiantes, corrosivos, sensibilizantes, narcóticos y tóxicos sistémicos.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Mutagénesis, carcinogénesis y teratogénesis.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Sistema Globalmente Armonizado (SGA/GHS) de clasificación y etiquetado de sustancias químicas.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Indicadores biológicos de exposición.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3: TOXICOCINÉTICA Y TOXICODINÁMICA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Etapas del proceso tóxico: absorción, distribución, metabolismo y excreción.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Vías de ingreso al organismo.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Almacenamiento de sustancias tóxicas en el organismo.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Mecanismos de acción celular de los tóxicos.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Factores que condicionan la respuesta tóxica: individuales, ambientales y laborales.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Concepto de biomarcadores de exposición y efecto.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4: EVALUACIÓN Y GESTIÓN DEL RIESGO QUÍMICO LABORAL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Identificación de peligros químicos en el ambiente laboral.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Evaluación del riesgo por exposición a sustancias peligrosas.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Límites de exposición ocupacional: concepto, tipos y aplicación.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Monitoreo ambiental y biológico.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Jerarquía de medidas de control:</w:t>
            </w:r>
          </w:p>
          <w:p w:rsidR="00097CAF" w:rsidRPr="00CB6613" w:rsidRDefault="00097CAF" w:rsidP="00097CA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Eliminación y sustitución</w:t>
            </w:r>
          </w:p>
          <w:p w:rsidR="00097CAF" w:rsidRPr="00CB6613" w:rsidRDefault="00097CAF" w:rsidP="00097CA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Controles de ingeniería</w:t>
            </w:r>
          </w:p>
          <w:p w:rsidR="00097CAF" w:rsidRPr="00CB6613" w:rsidRDefault="00097CAF" w:rsidP="00097CA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Controles administrativos</w:t>
            </w:r>
          </w:p>
          <w:p w:rsidR="00097CAF" w:rsidRPr="00CB6613" w:rsidRDefault="00097CAF" w:rsidP="00097CA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Elementos de protección personal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Normativa nacional e internacional aplicable a agentes químicos.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5: TOXICOLOGÍA DE METALES Y SUS RIESGOS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Características toxicológicas de metales pesados.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Principales fuentes laborales de exposición.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Estudio de: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Arsénico, plomo, mercurio, cadmio, cromo, manganeso, níquel y otros metales industriales.</w:t>
            </w:r>
          </w:p>
          <w:p w:rsidR="00097CAF" w:rsidRPr="00097CAF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Efectos en la salud.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Medidas preventivas y control de exposición.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6: TOXICOLOGÍA DE SOLVENTES Y DERIVADOS DEL PETRÓLEO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Solventes orgánicos y su uso industrial.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Hidrocarburos alifáticos y aromáticos.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Hidrocarburos halogenados.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Benceno, tolueno, xileno, estireno y n-hexano.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Hidrocarburos aromáticos policíclicos (HAP).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Efectos tóxicos agudos y crónicos.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Prevención y control en ambientes laborales.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7: TOXICOLOGÍA DE GASES, VAPORES Y MATERIAL PARTICULADO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Gases irritantes y asfixiantes.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Monóxido de carbono, amoníaco, dióxido de azufre, dióxido de nitrógeno y cloro.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Polvos minerales y orgánicos: sílice, asbesto, carbón, fibras vegetales.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Efectos respiratorios y sistémicos.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Medición de contaminantes y protección respiratoria.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8: TOXICOLOGÍA DE ÁCIDOS, BASES Y SUSTANCIAS CORROSIVAS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Características generales y riesgos asociados.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Ácidos fuertes y bases fuertes de uso industrial.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Mecanismos de daño tisular.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Medidas de seguridad, manipulación y almacenamiento seguro.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9: TOXICOLOGÍA DE AGROQUÍMICOS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Clasificación toxicológica de plaguicidas.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Organofosforados, carbamatos, organoclorados y fumigantes.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Vías de exposición ocupacional y ambiental.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Efectos agudos y crónicos en la salud.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Buenas prácticas de manejo y prevención de intoxicaciones.</w:t>
            </w:r>
          </w:p>
          <w:p w:rsidR="00097CAF" w:rsidRPr="00CB6613" w:rsidRDefault="00097CAF" w:rsidP="00097CAF">
            <w:pPr>
              <w:spacing w:before="100" w:beforeAutospacing="1" w:after="100" w:afterAutospacing="1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sz w:val="22"/>
                <w:szCs w:val="22"/>
              </w:rPr>
              <w:t>UNIDAD 10: PRIMEROS AUXILIOS Y RESPUESTA ANTE EMERGENCIAS TOXICOLÓGICAS</w:t>
            </w:r>
          </w:p>
          <w:p w:rsidR="00097CAF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Procedimientos ante intoxicaciones por inhalación, ingestión y contacto dérmico.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Protocolos de actuación en emergencias químicas.</w:t>
            </w:r>
          </w:p>
          <w:p w:rsidR="00D823C2" w:rsidRPr="00097CAF" w:rsidRDefault="00097CAF" w:rsidP="00097CAF">
            <w:pPr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Interpretación de fichas de datos de seguridad (SDS).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Fuentes de información toxicológica.</w:t>
            </w:r>
            <w:r w:rsidRPr="00CB6613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Rol del profesional en higiene y seguridad en la respuesta ante incidentes.</w:t>
            </w:r>
          </w:p>
        </w:tc>
      </w:tr>
      <w:tr w:rsidR="003D2BEB" w:rsidRPr="003D2BEB" w:rsidTr="00056538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23C2" w:rsidRDefault="003D2BEB" w:rsidP="00685C2F">
            <w:pPr>
              <w:pStyle w:val="Prrafodelista"/>
              <w:numPr>
                <w:ilvl w:val="0"/>
                <w:numId w:val="8"/>
              </w:numPr>
              <w:spacing w:after="240"/>
              <w:ind w:left="714" w:right="301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Metodología de enseñanza </w:t>
            </w:r>
          </w:p>
          <w:p w:rsidR="00097CAF" w:rsidRPr="0043255C" w:rsidRDefault="00097CAF" w:rsidP="00097CAF">
            <w:pPr>
              <w:pStyle w:val="Prrafodelista"/>
              <w:spacing w:after="240"/>
              <w:ind w:left="714" w:right="301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Las clases se dictaran los días Lunes de 18:30 a 20:45 horas, de manera presencial o vía zoom.</w:t>
            </w:r>
          </w:p>
          <w:p w:rsidR="00097CAF" w:rsidRPr="00097CAF" w:rsidRDefault="00097CAF" w:rsidP="00097CAF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La asignatura se desarrollará bajo una modalidad teórico–práctica con enfoque participativo, en un formato presencial mediado por tecnologías digitales.</w:t>
            </w:r>
          </w:p>
          <w:p w:rsidR="00097CAF" w:rsidRPr="00097CAF" w:rsidRDefault="00097CAF" w:rsidP="00097CAF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El cursado se organizará de manera alternada, combinando:</w:t>
            </w:r>
          </w:p>
          <w:p w:rsidR="00097CAF" w:rsidRPr="00097CAF" w:rsidRDefault="00097CAF" w:rsidP="00097CAF">
            <w:pPr>
              <w:pStyle w:val="NormalWeb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Clases presenciales en aula.</w:t>
            </w:r>
          </w:p>
          <w:p w:rsidR="00097CAF" w:rsidRPr="00097CAF" w:rsidRDefault="00097CAF" w:rsidP="00097CAF">
            <w:pPr>
              <w:pStyle w:val="NormalWeb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Encuentros virtuales sincrónicos mediante plataforma de videoconferencia.</w:t>
            </w:r>
          </w:p>
          <w:p w:rsidR="00097CAF" w:rsidRPr="00097CAF" w:rsidRDefault="00097CAF" w:rsidP="00097CAF">
            <w:pPr>
              <w:pStyle w:val="NormalWeb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Actividades asincrónicas orientadas al trabajo autónomo del estudiante.</w:t>
            </w:r>
          </w:p>
          <w:p w:rsidR="00097CAF" w:rsidRPr="00097CAF" w:rsidRDefault="00097CAF" w:rsidP="00097CAF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La secuencia de cursado se estructurará en ciclos que incluirán una semana presencial, una semana virtual sincrónica y una instancia asincrónica, favoreciendo la continuidad pedagógica y la flexibilidad en el aprendizaje.</w:t>
            </w:r>
          </w:p>
          <w:p w:rsidR="00097CAF" w:rsidRPr="00097CAF" w:rsidRDefault="00097CAF" w:rsidP="00097CAF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Durante las clases presenciales y virtuales se desarrollarán exposiciones dialogadas, análisis de casos reales y resolución de problemáticas vinculadas al riesgo químico laboral.</w:t>
            </w:r>
          </w:p>
          <w:p w:rsidR="00097CAF" w:rsidRPr="00097CAF" w:rsidRDefault="00097CAF" w:rsidP="00097CAF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Las instancias asincrónicas estarán destinadas a:</w:t>
            </w:r>
          </w:p>
          <w:p w:rsidR="00097CAF" w:rsidRPr="00097CAF" w:rsidRDefault="00097CAF" w:rsidP="00097CAF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Resolución de trabajos prácticos.</w:t>
            </w:r>
          </w:p>
          <w:p w:rsidR="00097CAF" w:rsidRPr="00097CAF" w:rsidRDefault="00097CAF" w:rsidP="00097CAF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Análisis de material bibliográfico y normativo.</w:t>
            </w:r>
          </w:p>
          <w:p w:rsidR="00097CAF" w:rsidRPr="00097CAF" w:rsidRDefault="00097CAF" w:rsidP="00097CAF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Interpretación de fichas de datos de seguridad.</w:t>
            </w:r>
          </w:p>
          <w:p w:rsidR="00097CAF" w:rsidRPr="00097CAF" w:rsidRDefault="00097CAF" w:rsidP="00097CAF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Actividades integradoras de aplicación profesional.</w:t>
            </w:r>
          </w:p>
          <w:p w:rsidR="00097CAF" w:rsidRPr="00097CAF" w:rsidRDefault="00097CAF" w:rsidP="00097CAF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Se promoverá el aprendizaje activo, el pensamiento crítico y la autonomía del estudiante, favoreciendo la articulación entre los contenidos teóricos y su aplicación en el campo profesional de la higiene y seguridad laboral.</w:t>
            </w:r>
          </w:p>
          <w:p w:rsidR="00D823C2" w:rsidRPr="00097CAF" w:rsidRDefault="00097CAF" w:rsidP="00097CAF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97CAF">
              <w:rPr>
                <w:rFonts w:asciiTheme="minorHAnsi" w:hAnsiTheme="minorHAnsi" w:cstheme="minorHAnsi"/>
                <w:b w:val="0"/>
                <w:sz w:val="22"/>
                <w:szCs w:val="22"/>
              </w:rPr>
              <w:t>Las consultas podrán realizarse de manera presencial, virtual sincrónica y a través de medios digitales institucionales.</w:t>
            </w:r>
          </w:p>
        </w:tc>
      </w:tr>
      <w:tr w:rsidR="003D2BEB" w:rsidRPr="003D2BEB" w:rsidTr="00056538">
        <w:tc>
          <w:tcPr>
            <w:cnfStyle w:val="001000000000"/>
            <w:tcW w:w="5000" w:type="pct"/>
            <w:gridSpan w:val="2"/>
          </w:tcPr>
          <w:p w:rsidR="00D823C2" w:rsidRDefault="003D2BEB" w:rsidP="00685C2F">
            <w:pPr>
              <w:pStyle w:val="Prrafodelista"/>
              <w:numPr>
                <w:ilvl w:val="0"/>
                <w:numId w:val="8"/>
              </w:numPr>
              <w:spacing w:after="240"/>
              <w:ind w:left="714" w:right="301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Metodología de evaluación </w:t>
            </w:r>
          </w:p>
          <w:p w:rsidR="00824ED9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Se considerarán instancias de evaluación teóricas y prácticas, tanto presenciales como mediadas por tecnologías, que permitan evidenciar la comprensión conceptual, la aplicación de contenidos y la capacidad de análisis de situaciones propias del campo profesional.</w:t>
            </w:r>
          </w:p>
          <w:p w:rsidR="00824ED9" w:rsidRPr="00824ED9" w:rsidRDefault="00824ED9" w:rsidP="00824ED9">
            <w:pPr>
              <w:pStyle w:val="Ttulo2"/>
              <w:jc w:val="both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Instrumentos de evaluación</w:t>
            </w:r>
          </w:p>
          <w:p w:rsidR="00824ED9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Se emplearán los siguientes instrumentos: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Trabajos prácticos individuales y grupales.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Actividades asincrónicas en el aula virtual.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Participación en foros de debate y análisis de casos.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Resolución de problemáticas vinculadas a situaciones reales de exposición laboral.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Dos evaluaciones parciales teórico–prácticas realizadas 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n el aula virtual institucional, con sus respectivos recuperatorios</w:t>
            </w:r>
          </w:p>
          <w:p w:rsidR="00824ED9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Las evaluaciones parciales se desarrollarán mediante la plataforma Moodle y deberán configurarse con: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Un máximo de dos intentos por estudiante.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Un tiempo limitado para su realización, establecido previamente por el docente.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Cierre automático al finalizar el tiempo asignado.</w:t>
            </w:r>
          </w:p>
          <w:p w:rsidR="00824ED9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En el caso de evaluaciones con preguntas abiertas, la corrección será realizada por el docente. Cuando se utilicen cuestionarios de opción múltiple o verdadero/falso, se priorizará la corrección automática y la aleatorización de ítems.</w:t>
            </w:r>
          </w:p>
          <w:p w:rsidR="00824ED9" w:rsidRPr="00824ED9" w:rsidRDefault="00824ED9" w:rsidP="00824ED9">
            <w:pPr>
              <w:pStyle w:val="Ttulo2"/>
              <w:jc w:val="both"/>
              <w:outlineLvl w:val="1"/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Condiciones de aprobación</w:t>
            </w:r>
          </w:p>
          <w:p w:rsidR="00824ED9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Todas las instancias evaluativas deberán aprobarse con una calificación mínima de seis (6) puntos.</w:t>
            </w:r>
          </w:p>
          <w:p w:rsidR="00824ED9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De acuerdo con el desempeño académico, el estudiante podrá acceder a las siguientes condiciones:</w:t>
            </w:r>
          </w:p>
          <w:p w:rsidR="00824ED9" w:rsidRPr="00824ED9" w:rsidRDefault="00824ED9" w:rsidP="00824ED9">
            <w:pPr>
              <w:pStyle w:val="Ttulo3"/>
              <w:spacing w:line="240" w:lineRule="auto"/>
              <w:jc w:val="both"/>
              <w:outlineLvl w:val="2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824ED9">
              <w:rPr>
                <w:rFonts w:asciiTheme="minorHAnsi" w:hAnsiTheme="minorHAnsi" w:cstheme="minorHAnsi"/>
                <w:color w:val="auto"/>
                <w:u w:val="single"/>
              </w:rPr>
              <w:t>Aprobación directa</w:t>
            </w:r>
          </w:p>
          <w:p w:rsidR="00824ED9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El estudiante aprobará la asignatura sin rendir examen final cuando cumpla con: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Al menos el 75% de asistencia a clases presenciales y actividades mediadas por tecnologías.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Aprobación de trabajos prácticos y actividades virtuales.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Aprobación de las evaluaciones parciales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con calificación mínima de ocho (8</w:t>
            </w: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).</w:t>
            </w:r>
          </w:p>
          <w:p w:rsidR="00824ED9" w:rsidRPr="00824ED9" w:rsidRDefault="00824ED9" w:rsidP="00824ED9">
            <w:pPr>
              <w:pStyle w:val="Ttulo3"/>
              <w:spacing w:line="240" w:lineRule="auto"/>
              <w:jc w:val="both"/>
              <w:outlineLvl w:val="2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824ED9">
              <w:rPr>
                <w:rFonts w:asciiTheme="minorHAnsi" w:hAnsiTheme="minorHAnsi" w:cstheme="minorHAnsi"/>
                <w:color w:val="auto"/>
                <w:u w:val="single"/>
              </w:rPr>
              <w:t>Cursado aprobado</w:t>
            </w:r>
          </w:p>
          <w:p w:rsidR="00824ED9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El estudiante accederá a la condición de cursado aprobado cuando: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Cumpla con el requisito de asistencia.</w:t>
            </w:r>
          </w:p>
          <w:p w:rsidR="00824ED9" w:rsidRPr="00824ED9" w:rsidRDefault="00824ED9" w:rsidP="00824ED9">
            <w:pPr>
              <w:pStyle w:val="NormalWeb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Apruebe las evaluaciones parciales y trabajos prácticos.</w:t>
            </w:r>
          </w:p>
          <w:p w:rsidR="00824ED9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En este caso deberá rendir un examen final en alguno de los turnos establecidos en el calendario académico.</w:t>
            </w:r>
          </w:p>
          <w:p w:rsidR="00824ED9" w:rsidRPr="00824ED9" w:rsidRDefault="00824ED9" w:rsidP="00824ED9">
            <w:pPr>
              <w:pStyle w:val="Ttulo3"/>
              <w:spacing w:line="240" w:lineRule="auto"/>
              <w:jc w:val="both"/>
              <w:outlineLvl w:val="2"/>
              <w:rPr>
                <w:rFonts w:asciiTheme="minorHAnsi" w:hAnsiTheme="minorHAnsi" w:cstheme="minorHAnsi"/>
                <w:color w:val="auto"/>
                <w:u w:val="single"/>
              </w:rPr>
            </w:pPr>
            <w:r w:rsidRPr="00824ED9">
              <w:rPr>
                <w:rFonts w:asciiTheme="minorHAnsi" w:hAnsiTheme="minorHAnsi" w:cstheme="minorHAnsi"/>
                <w:color w:val="auto"/>
                <w:u w:val="single"/>
              </w:rPr>
              <w:t>No aprobado</w:t>
            </w:r>
          </w:p>
          <w:p w:rsidR="00D823C2" w:rsidRPr="00824ED9" w:rsidRDefault="00824ED9" w:rsidP="00824ED9">
            <w:pPr>
              <w:pStyle w:val="NormalWeb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El estudiante que no alcance los requisitos mínimos establecidos deberá </w:t>
            </w:r>
            <w:r w:rsidRPr="00824ED9">
              <w:rPr>
                <w:rFonts w:asciiTheme="minorHAnsi" w:hAnsiTheme="minorHAnsi" w:cstheme="minorHAnsi"/>
                <w:b w:val="0"/>
                <w:i/>
                <w:sz w:val="22"/>
                <w:szCs w:val="22"/>
                <w:u w:val="single"/>
              </w:rPr>
              <w:t xml:space="preserve">recursar </w:t>
            </w:r>
            <w:r w:rsidRPr="00824ED9">
              <w:rPr>
                <w:rFonts w:asciiTheme="minorHAnsi" w:hAnsiTheme="minorHAnsi" w:cstheme="minorHAnsi"/>
                <w:b w:val="0"/>
                <w:sz w:val="22"/>
                <w:szCs w:val="22"/>
              </w:rPr>
              <w:t>la asignatura.</w:t>
            </w:r>
          </w:p>
        </w:tc>
      </w:tr>
      <w:tr w:rsidR="003D2BEB" w:rsidRPr="003D2BEB" w:rsidTr="00056538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823C2" w:rsidRDefault="003D2BEB" w:rsidP="00685C2F">
            <w:pPr>
              <w:pStyle w:val="Prrafodelista"/>
              <w:numPr>
                <w:ilvl w:val="0"/>
                <w:numId w:val="8"/>
              </w:numPr>
              <w:spacing w:after="240"/>
              <w:ind w:left="714" w:right="301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Recursos didácticos a usar como apoyo al proceso de </w:t>
            </w:r>
            <w:r w:rsidR="00B778B7">
              <w:rPr>
                <w:rFonts w:asciiTheme="minorHAnsi" w:hAnsiTheme="minorHAnsi"/>
                <w:sz w:val="22"/>
                <w:szCs w:val="22"/>
              </w:rPr>
              <w:t>e</w:t>
            </w:r>
            <w:r w:rsidRPr="003D2BEB">
              <w:rPr>
                <w:rFonts w:asciiTheme="minorHAnsi" w:hAnsiTheme="minorHAnsi"/>
                <w:sz w:val="22"/>
                <w:szCs w:val="22"/>
              </w:rPr>
              <w:t>nseñanza</w:t>
            </w:r>
          </w:p>
          <w:p w:rsidR="00411A61" w:rsidRPr="00411A61" w:rsidRDefault="00411A61" w:rsidP="00411A61">
            <w:pPr>
              <w:pStyle w:val="NormalWeb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1A61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Para el desarrollo de la asignatura se emplearán diversos recursos didácticos orientados a favorecer la comprensión conceptual, la aplicación práctica de los contenidos y el aprendizaje autónomo de los estudiantes.</w:t>
            </w:r>
          </w:p>
          <w:p w:rsidR="00411A61" w:rsidRPr="00411A61" w:rsidRDefault="00411A61" w:rsidP="00411A61">
            <w:pPr>
              <w:pStyle w:val="NormalWeb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1A61">
              <w:rPr>
                <w:rFonts w:asciiTheme="minorHAnsi" w:hAnsiTheme="minorHAnsi" w:cstheme="minorHAnsi"/>
                <w:b w:val="0"/>
                <w:sz w:val="22"/>
                <w:szCs w:val="22"/>
              </w:rPr>
              <w:t>Durante las clases presenciales y virtuales se utilizarán:</w:t>
            </w:r>
          </w:p>
          <w:p w:rsidR="00411A61" w:rsidRPr="00411A61" w:rsidRDefault="00411A61" w:rsidP="00411A61">
            <w:pPr>
              <w:pStyle w:val="NormalWeb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1A61">
              <w:rPr>
                <w:rFonts w:asciiTheme="minorHAnsi" w:hAnsiTheme="minorHAnsi" w:cstheme="minorHAnsi"/>
                <w:b w:val="0"/>
                <w:sz w:val="22"/>
                <w:szCs w:val="22"/>
              </w:rPr>
              <w:t>Presentaciones digitales elaboradas por el docente.</w:t>
            </w:r>
          </w:p>
          <w:p w:rsidR="00411A61" w:rsidRPr="00411A61" w:rsidRDefault="00411A61" w:rsidP="00411A61">
            <w:pPr>
              <w:pStyle w:val="NormalWeb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1A61">
              <w:rPr>
                <w:rFonts w:asciiTheme="minorHAnsi" w:hAnsiTheme="minorHAnsi" w:cstheme="minorHAnsi"/>
                <w:b w:val="0"/>
                <w:sz w:val="22"/>
                <w:szCs w:val="22"/>
              </w:rPr>
              <w:t>Material audiovisual y recursos multimedia.</w:t>
            </w:r>
          </w:p>
          <w:p w:rsidR="00411A61" w:rsidRPr="00411A61" w:rsidRDefault="00411A61" w:rsidP="00411A61">
            <w:pPr>
              <w:pStyle w:val="NormalWeb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1A61">
              <w:rPr>
                <w:rFonts w:asciiTheme="minorHAnsi" w:hAnsiTheme="minorHAnsi" w:cstheme="minorHAnsi"/>
                <w:b w:val="0"/>
                <w:sz w:val="22"/>
                <w:szCs w:val="22"/>
              </w:rPr>
              <w:t>Estudios de casos reales vinculados a la toxicología laboral.</w:t>
            </w:r>
          </w:p>
          <w:p w:rsidR="00411A61" w:rsidRPr="00411A61" w:rsidRDefault="00411A61" w:rsidP="00411A61">
            <w:pPr>
              <w:pStyle w:val="NormalWeb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11A61">
              <w:rPr>
                <w:rFonts w:asciiTheme="minorHAnsi" w:hAnsiTheme="minorHAnsi" w:cstheme="minorHAnsi"/>
                <w:b w:val="0"/>
                <w:sz w:val="22"/>
                <w:szCs w:val="22"/>
              </w:rPr>
              <w:t>Fichas de datos de seguridad de sustancias químicas.</w:t>
            </w:r>
          </w:p>
          <w:p w:rsidR="00611CEB" w:rsidRPr="00411A61" w:rsidRDefault="00411A61" w:rsidP="00411A61">
            <w:pPr>
              <w:pStyle w:val="NormalWeb"/>
              <w:numPr>
                <w:ilvl w:val="0"/>
                <w:numId w:val="20"/>
              </w:numPr>
            </w:pPr>
            <w:r w:rsidRPr="00411A61">
              <w:rPr>
                <w:rFonts w:asciiTheme="minorHAnsi" w:hAnsiTheme="minorHAnsi" w:cstheme="minorHAnsi"/>
                <w:b w:val="0"/>
                <w:sz w:val="22"/>
                <w:szCs w:val="22"/>
              </w:rPr>
              <w:t>Normativa vigente en materia de higiene y seguridad laboral.</w:t>
            </w:r>
          </w:p>
        </w:tc>
      </w:tr>
      <w:tr w:rsidR="003D2BEB" w:rsidRPr="003D2BEB" w:rsidTr="00056538">
        <w:tc>
          <w:tcPr>
            <w:cnfStyle w:val="001000000000"/>
            <w:tcW w:w="5000" w:type="pct"/>
            <w:gridSpan w:val="2"/>
          </w:tcPr>
          <w:p w:rsidR="00D823C2" w:rsidRDefault="003D2BEB" w:rsidP="00685C2F">
            <w:pPr>
              <w:pStyle w:val="Prrafodelista"/>
              <w:numPr>
                <w:ilvl w:val="0"/>
                <w:numId w:val="8"/>
              </w:numPr>
              <w:spacing w:after="240"/>
              <w:ind w:left="714" w:right="301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lastRenderedPageBreak/>
              <w:t>Cronograma estimado de clases por unidad temática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7"/>
              <w:gridCol w:w="1147"/>
              <w:gridCol w:w="6521"/>
            </w:tblGrid>
            <w:tr w:rsidR="00411A61" w:rsidRPr="00AD3AA6" w:rsidTr="004E21E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FECHA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MODALIDAD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CONTENIDOS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9 de marzo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Presencial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Presentación de la asignatura. Introducción a la Toxicología Laboral. Áreas, evolución histórica y rol del profesional en HyS.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16 de marzo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Virtual 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Principios generales de toxicología. Conceptos de toxicidad, dosis–respuesta, clasificación de sustancias.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23 de marzo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Actividad práctica: análisis de fichas de seguridad y reconocimiento de peligros químicos.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30 de marzo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Presencial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Toxicocinética y toxicodinámica. Factores que condicionan la acción tóxica.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6 de abril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Virtual 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Evaluación y gestión del riesgo químico laboral. Límites de exposición y medidas de control.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13 de abril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Trabajo práctico: identificación y evaluación de riesgos químicos en situaciones laborales.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20 de abril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Presencial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Toxicología de metales pesados. Fuentes de exposición y efectos en la salud.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27 de abril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Virtual 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Toxicología de solventes orgánicos y derivados del petróleo.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4 de mayo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Actividad práctica integradora sobre exposición a solventes.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11 de mayo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Virtual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PRIMER EXAMEN PARCIAL (modalidad virtual en aula Moodle)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18 de mayo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Presencial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Toxicología de gases, vapores y material particulado.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25 de mayo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Virtual 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Toxicología de ácidos, bases y sustancias corrosivas.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 de junio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Actividad práctica: análisis de protocolos de seguridad y control de exposición.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8 de junio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Presencial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Toxicología de agroquímicos. Riesgos ocupacionales y prevención.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15 de junio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Virtual 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Primeros auxilios y respuesta ante emergencias toxicológicas.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22 de junio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Asincrónica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Trabajo integrador final: gestión del riesgo químico laboral.</w:t>
                  </w:r>
                </w:p>
              </w:tc>
            </w:tr>
            <w:tr w:rsidR="00411A61" w:rsidRPr="00AD3AA6" w:rsidTr="004E2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29 de junio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D3AA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Virtual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1A61" w:rsidRPr="00AD3AA6" w:rsidRDefault="00411A61" w:rsidP="004E21ED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411A61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SEGUNDO EXAMEN PARCIAL (modalidad virtual)</w:t>
                  </w:r>
                </w:p>
              </w:tc>
            </w:tr>
          </w:tbl>
          <w:p w:rsidR="00611CEB" w:rsidRPr="00411A61" w:rsidRDefault="00611CEB" w:rsidP="00411A61">
            <w:pPr>
              <w:ind w:right="298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2BEB" w:rsidRPr="003D2BEB" w:rsidTr="00056538">
        <w:trPr>
          <w:cnfStyle w:val="000000100000"/>
        </w:trPr>
        <w:tc>
          <w:tcPr>
            <w:cnfStyle w:val="00100000000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D30A1" w:rsidRDefault="003D2BEB" w:rsidP="00CD30A1">
            <w:pPr>
              <w:pStyle w:val="Prrafodelista"/>
              <w:numPr>
                <w:ilvl w:val="0"/>
                <w:numId w:val="8"/>
              </w:numPr>
              <w:spacing w:after="240"/>
              <w:ind w:left="714" w:right="301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D2BEB">
              <w:rPr>
                <w:rFonts w:asciiTheme="minorHAnsi" w:hAnsiTheme="minorHAnsi"/>
                <w:sz w:val="22"/>
                <w:szCs w:val="22"/>
              </w:rPr>
              <w:t>Bibliografía</w:t>
            </w:r>
          </w:p>
          <w:p w:rsidR="00CD30A1" w:rsidRPr="00CD30A1" w:rsidRDefault="00CD30A1" w:rsidP="00CD30A1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t>Klaassen, C. D., &amp; Watkins, J. B. III. (2008).</w:t>
            </w: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CD30A1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Casarett y Doull’s. Fundamentos de Toxicología</w:t>
            </w: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(7ª ed.). Madrid: McGraw-Hill </w:t>
            </w: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Interamericana.</w:t>
            </w:r>
          </w:p>
          <w:p w:rsidR="00CD30A1" w:rsidRPr="00CD30A1" w:rsidRDefault="00CD30A1" w:rsidP="00CD30A1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t>Albiano, N. F.</w:t>
            </w: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CD30A1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Toxicología laboral: Criterios para la vigilancia de los trabajadores expuestos a sustancias químicas peligrosas</w:t>
            </w:r>
            <w:r w:rsidRPr="00CD3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D30A1" w:rsidRDefault="00CD30A1" w:rsidP="00CD30A1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t>Fundación MAPFRE. (1996).</w:t>
            </w: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CD30A1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Manual de Higiene Industrial</w:t>
            </w: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(4ª ed.). Madrid: Editorial MAPFRE.</w:t>
            </w:r>
          </w:p>
          <w:p w:rsidR="00CD30A1" w:rsidRDefault="00CD30A1" w:rsidP="00CD30A1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t>Creus, A., &amp; Mangosio, J. (2011).</w:t>
            </w: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CD30A1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Seguridad e higiene en el trabajo: Un enfoque integral</w:t>
            </w:r>
            <w:r w:rsidRPr="00CD3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Buenos Aires: Alfaomega.</w:t>
            </w:r>
          </w:p>
          <w:p w:rsidR="00CD30A1" w:rsidRPr="00CD30A1" w:rsidRDefault="00CD30A1" w:rsidP="00CD30A1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D30A1">
              <w:rPr>
                <w:rFonts w:asciiTheme="minorHAnsi" w:hAnsiTheme="minorHAnsi" w:cstheme="minorHAnsi"/>
                <w:b w:val="0"/>
                <w:sz w:val="22"/>
                <w:szCs w:val="22"/>
              </w:rPr>
              <w:t>Material técnico y guías oficiales de:</w:t>
            </w:r>
          </w:p>
          <w:p w:rsidR="00CD30A1" w:rsidRPr="00CD30A1" w:rsidRDefault="00CD30A1" w:rsidP="00CD30A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D30A1">
              <w:rPr>
                <w:rStyle w:val="whitespace-normal"/>
                <w:rFonts w:asciiTheme="minorHAnsi" w:hAnsiTheme="minorHAnsi" w:cstheme="minorHAnsi"/>
                <w:b w:val="0"/>
                <w:sz w:val="22"/>
                <w:szCs w:val="22"/>
              </w:rPr>
              <w:t>Superintendencia de Riesgos del Trabajo</w:t>
            </w:r>
          </w:p>
          <w:p w:rsidR="00CD30A1" w:rsidRPr="00CD30A1" w:rsidRDefault="00CD30A1" w:rsidP="00CD30A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D30A1">
              <w:rPr>
                <w:rStyle w:val="whitespace-normal"/>
                <w:rFonts w:asciiTheme="minorHAnsi" w:hAnsiTheme="minorHAnsi" w:cstheme="minorHAnsi"/>
                <w:b w:val="0"/>
                <w:sz w:val="22"/>
                <w:szCs w:val="22"/>
              </w:rPr>
              <w:t>Organización Internacional del Trabajo</w:t>
            </w:r>
          </w:p>
          <w:p w:rsidR="00CD30A1" w:rsidRPr="000F6E6A" w:rsidRDefault="00CD30A1" w:rsidP="00CD30A1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6E6A">
              <w:rPr>
                <w:rStyle w:val="whitespace-normal"/>
                <w:rFonts w:asciiTheme="minorHAnsi" w:hAnsiTheme="minorHAnsi" w:cstheme="minorHAnsi"/>
                <w:b w:val="0"/>
                <w:sz w:val="22"/>
                <w:szCs w:val="22"/>
              </w:rPr>
              <w:t>Organización Mundial de la Salud</w:t>
            </w:r>
          </w:p>
          <w:p w:rsidR="000F6E6A" w:rsidRPr="000F6E6A" w:rsidRDefault="000F6E6A" w:rsidP="000F6E6A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6E6A">
              <w:rPr>
                <w:rFonts w:asciiTheme="minorHAnsi" w:hAnsiTheme="minorHAnsi" w:cstheme="minorHAnsi"/>
                <w:b w:val="0"/>
                <w:sz w:val="22"/>
                <w:szCs w:val="22"/>
              </w:rPr>
              <w:t>INSST.</w:t>
            </w:r>
            <w:r w:rsidRPr="000F6E6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F6E6A">
              <w:rPr>
                <w:rStyle w:val="whitespace-normal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Higiene Industrial Aplicada</w:t>
            </w:r>
            <w:r w:rsidRPr="000F6E6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0F6E6A">
              <w:rPr>
                <w:rFonts w:asciiTheme="minorHAnsi" w:hAnsiTheme="minorHAnsi" w:cstheme="minorHAnsi"/>
                <w:b w:val="0"/>
                <w:sz w:val="22"/>
                <w:szCs w:val="22"/>
              </w:rPr>
              <w:t>Instituto Nacional de Seguridad y Salud en el Trabajo.</w:t>
            </w:r>
          </w:p>
          <w:p w:rsidR="00611CEB" w:rsidRPr="000F6E6A" w:rsidRDefault="000F6E6A" w:rsidP="000F6E6A">
            <w:pPr>
              <w:pStyle w:val="NormalWeb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F6E6A">
              <w:rPr>
                <w:rFonts w:asciiTheme="minorHAnsi" w:hAnsiTheme="minorHAnsi" w:cstheme="minorHAnsi"/>
                <w:b w:val="0"/>
                <w:sz w:val="22"/>
                <w:szCs w:val="22"/>
              </w:rPr>
              <w:t>Plá, A.</w:t>
            </w:r>
            <w:r w:rsidRPr="000F6E6A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</w:r>
            <w:r w:rsidRPr="000F6E6A">
              <w:rPr>
                <w:rStyle w:val="whitespace-normal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Toxicología de Plaguicidas</w:t>
            </w:r>
            <w:r w:rsidRPr="000F6E6A">
              <w:rPr>
                <w:rFonts w:asciiTheme="minorHAnsi" w:hAnsiTheme="minorHAnsi" w:cstheme="minorHAnsi"/>
                <w:b w:val="0"/>
                <w:sz w:val="22"/>
                <w:szCs w:val="22"/>
              </w:rPr>
              <w:t>. Editorial Agropecuaria.</w:t>
            </w:r>
          </w:p>
        </w:tc>
      </w:tr>
    </w:tbl>
    <w:p w:rsidR="003D3E5F" w:rsidRPr="003D2BEB" w:rsidRDefault="003D3E5F" w:rsidP="002573BB">
      <w:pPr>
        <w:rPr>
          <w:rFonts w:asciiTheme="minorHAnsi" w:hAnsiTheme="minorHAnsi"/>
          <w:b/>
          <w:sz w:val="22"/>
          <w:szCs w:val="22"/>
        </w:rPr>
      </w:pPr>
    </w:p>
    <w:sectPr w:rsidR="003D3E5F" w:rsidRPr="003D2BEB" w:rsidSect="00056538">
      <w:headerReference w:type="default" r:id="rId8"/>
      <w:footerReference w:type="default" r:id="rId9"/>
      <w:type w:val="continuous"/>
      <w:pgSz w:w="11907" w:h="16839" w:code="9"/>
      <w:pgMar w:top="2835" w:right="1701" w:bottom="1417" w:left="1701" w:header="360" w:footer="708" w:gutter="0"/>
      <w:pgBorders w:offsetFrom="page">
        <w:top w:val="double" w:sz="4" w:space="24" w:color="7030A0"/>
        <w:left w:val="double" w:sz="4" w:space="24" w:color="7030A0"/>
        <w:bottom w:val="double" w:sz="4" w:space="24" w:color="7030A0"/>
        <w:right w:val="double" w:sz="4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29E" w:rsidRDefault="00F2029E">
      <w:r>
        <w:separator/>
      </w:r>
    </w:p>
  </w:endnote>
  <w:endnote w:type="continuationSeparator" w:id="1">
    <w:p w:rsidR="00F2029E" w:rsidRDefault="00F20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9305"/>
      <w:docPartObj>
        <w:docPartGallery w:val="Page Numbers (Bottom of Page)"/>
        <w:docPartUnique/>
      </w:docPartObj>
    </w:sdtPr>
    <w:sdtContent>
      <w:p w:rsidR="002573BB" w:rsidRDefault="009C2C17">
        <w:pPr>
          <w:pStyle w:val="Piedepgina"/>
        </w:pPr>
        <w:r>
          <w:rPr>
            <w:noProof/>
            <w:lang w:eastAsia="zh-TW"/>
          </w:rPr>
          <w:pict>
            <v:group id="_x0000_s1025" alt="" style="position:absolute;margin-left:0;margin-top:0;width:595.35pt;height:15pt;z-index:251661312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" style="position:absolute;left:10803;top:14982;width:659;height:288" filled="f" stroked="f">
                <v:textbox style="mso-next-textbox:#_x0000_s1029" inset="0,0,0,0">
                  <w:txbxContent>
                    <w:p w:rsidR="002573BB" w:rsidRPr="002573BB" w:rsidRDefault="009C2C17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2573BB">
                        <w:rPr>
                          <w:rFonts w:asciiTheme="minorHAnsi" w:hAnsiTheme="minorHAnsi"/>
                        </w:rPr>
                        <w:fldChar w:fldCharType="begin"/>
                      </w:r>
                      <w:r w:rsidR="002573BB" w:rsidRPr="002573BB">
                        <w:rPr>
                          <w:rFonts w:asciiTheme="minorHAnsi" w:hAnsiTheme="minorHAnsi"/>
                        </w:rPr>
                        <w:instrText xml:space="preserve"> PAGE    \* MERGEFORMAT </w:instrText>
                      </w:r>
                      <w:r w:rsidRPr="002573BB">
                        <w:rPr>
                          <w:rFonts w:asciiTheme="minorHAnsi" w:hAnsiTheme="minorHAnsi"/>
                        </w:rPr>
                        <w:fldChar w:fldCharType="separate"/>
                      </w:r>
                      <w:r w:rsidR="005C4927" w:rsidRPr="005C4927">
                        <w:rPr>
                          <w:rFonts w:asciiTheme="minorHAnsi" w:hAnsiTheme="minorHAnsi"/>
                          <w:noProof/>
                          <w:color w:val="8C8C8C" w:themeColor="background1" w:themeShade="8C"/>
                        </w:rPr>
                        <w:t>8</w:t>
                      </w:r>
                      <w:r w:rsidRPr="002573BB">
                        <w:rPr>
                          <w:rFonts w:asciiTheme="minorHAnsi" w:hAnsiTheme="minorHAnsi"/>
                        </w:rPr>
                        <w:fldChar w:fldCharType="end"/>
                      </w:r>
                    </w:p>
                  </w:txbxContent>
                </v:textbox>
              </v:shape>
              <v:group id="_x0000_s1026" alt="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8" type="#_x0000_t34" alt="" style="position:absolute;left:-8;top:14978;width:1260;height:230;flip:y" o:connectortype="elbow" adj=",1024457,257" strokecolor="#a5a5a5 [2092]"/>
                <v:shape id="_x0000_s1027" type="#_x0000_t34" alt="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29E" w:rsidRDefault="00F2029E">
      <w:r>
        <w:separator/>
      </w:r>
    </w:p>
  </w:footnote>
  <w:footnote w:type="continuationSeparator" w:id="1">
    <w:p w:rsidR="00F2029E" w:rsidRDefault="00F20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C22" w:rsidRDefault="007A3C22" w:rsidP="007A3C22">
    <w:pPr>
      <w:pStyle w:val="Encabezado"/>
      <w:spacing w:line="360" w:lineRule="auto"/>
      <w:jc w:val="right"/>
      <w:rPr>
        <w:i/>
        <w:sz w:val="20"/>
        <w:szCs w:val="20"/>
      </w:rPr>
    </w:pPr>
  </w:p>
  <w:p w:rsidR="007A3C22" w:rsidRDefault="007A3C22" w:rsidP="007A3C22">
    <w:pPr>
      <w:pStyle w:val="Encabezado"/>
      <w:spacing w:line="360" w:lineRule="auto"/>
      <w:jc w:val="right"/>
      <w:rPr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656590</wp:posOffset>
          </wp:positionH>
          <wp:positionV relativeFrom="paragraph">
            <wp:posOffset>210185</wp:posOffset>
          </wp:positionV>
          <wp:extent cx="457835" cy="457200"/>
          <wp:effectExtent l="0" t="0" r="0" b="0"/>
          <wp:wrapNone/>
          <wp:docPr id="988133613" name="Imagen 1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A3C22" w:rsidRDefault="007A3C22" w:rsidP="007A3C22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</w:p>
  <w:p w:rsidR="007A3C22" w:rsidRDefault="007A3C22" w:rsidP="007A3C22">
    <w:pPr>
      <w:pStyle w:val="Encabezado"/>
      <w:jc w:val="right"/>
      <w:rPr>
        <w:rFonts w:ascii="Arial" w:hAnsi="Arial" w:cs="Arial"/>
        <w:b/>
        <w:bCs/>
        <w:sz w:val="18"/>
      </w:rPr>
    </w:pPr>
  </w:p>
  <w:p w:rsidR="007A3C22" w:rsidRDefault="007A3C22" w:rsidP="007A3C22">
    <w:pPr>
      <w:pStyle w:val="Encabezado"/>
      <w:jc w:val="right"/>
      <w:rPr>
        <w:rFonts w:ascii="Arial" w:hAnsi="Arial" w:cs="Arial"/>
        <w:b/>
        <w:bCs/>
        <w:sz w:val="18"/>
      </w:rPr>
    </w:pPr>
  </w:p>
  <w:p w:rsidR="007A3C22" w:rsidRDefault="007A3C22" w:rsidP="007A3C22">
    <w:pPr>
      <w:pStyle w:val="Encabezado"/>
      <w:ind w:left="-426" w:right="5386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Ministerio de Capital Humano</w:t>
    </w:r>
  </w:p>
  <w:p w:rsidR="007A3C22" w:rsidRDefault="007A3C22" w:rsidP="007A3C22">
    <w:pPr>
      <w:pStyle w:val="Encabezado"/>
      <w:ind w:left="-426" w:right="5386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Universidad Tecnológica Nacional</w:t>
    </w:r>
  </w:p>
  <w:p w:rsidR="007A3C22" w:rsidRDefault="007A3C22" w:rsidP="007A3C22">
    <w:pPr>
      <w:pStyle w:val="Encabezado"/>
      <w:tabs>
        <w:tab w:val="right" w:pos="8647"/>
      </w:tabs>
      <w:ind w:left="-426" w:right="5386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Facultad Regional Reconquista</w:t>
    </w:r>
  </w:p>
  <w:p w:rsidR="00324391" w:rsidRDefault="009C2C17" w:rsidP="00B25ACD">
    <w:pPr>
      <w:pStyle w:val="Encabezado"/>
      <w:tabs>
        <w:tab w:val="clear" w:pos="8838"/>
        <w:tab w:val="right" w:pos="8647"/>
      </w:tabs>
      <w:ind w:left="-284" w:right="-142"/>
    </w:pPr>
    <w:r>
      <w:rPr>
        <w:noProof/>
      </w:rPr>
      <w:pict>
        <v:rect id="_x0000_i1025" alt="" style="width:441.15pt;height:.05pt;mso-width-percent:0;mso-height-percent:0;mso-width-percent:0;mso-height-percent:0" o:hrpct="988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915"/>
    <w:multiLevelType w:val="multilevel"/>
    <w:tmpl w:val="FF4E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7021B"/>
    <w:multiLevelType w:val="multilevel"/>
    <w:tmpl w:val="06F2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97FC2"/>
    <w:multiLevelType w:val="multilevel"/>
    <w:tmpl w:val="25C0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464E2"/>
    <w:multiLevelType w:val="hybridMultilevel"/>
    <w:tmpl w:val="E054B4A2"/>
    <w:lvl w:ilvl="0" w:tplc="4F447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90A85"/>
    <w:multiLevelType w:val="hybridMultilevel"/>
    <w:tmpl w:val="6E00583E"/>
    <w:lvl w:ilvl="0" w:tplc="54827EC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B3E28"/>
    <w:multiLevelType w:val="multilevel"/>
    <w:tmpl w:val="6EC4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21897"/>
    <w:multiLevelType w:val="multilevel"/>
    <w:tmpl w:val="FD68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3312C"/>
    <w:multiLevelType w:val="hybridMultilevel"/>
    <w:tmpl w:val="A35A2816"/>
    <w:lvl w:ilvl="0" w:tplc="82A4331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CF8008E"/>
    <w:multiLevelType w:val="hybridMultilevel"/>
    <w:tmpl w:val="86586A46"/>
    <w:lvl w:ilvl="0" w:tplc="E58E2D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D3AFE"/>
    <w:multiLevelType w:val="hybridMultilevel"/>
    <w:tmpl w:val="2A0803D0"/>
    <w:lvl w:ilvl="0" w:tplc="40E28984">
      <w:start w:val="19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57C4C8F"/>
    <w:multiLevelType w:val="hybridMultilevel"/>
    <w:tmpl w:val="6368110E"/>
    <w:lvl w:ilvl="0" w:tplc="7F125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D4F31"/>
    <w:multiLevelType w:val="multilevel"/>
    <w:tmpl w:val="C1F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F66D60"/>
    <w:multiLevelType w:val="hybridMultilevel"/>
    <w:tmpl w:val="9D04399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4F97965"/>
    <w:multiLevelType w:val="multilevel"/>
    <w:tmpl w:val="F922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4E46"/>
    <w:multiLevelType w:val="hybridMultilevel"/>
    <w:tmpl w:val="510A717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2524D9"/>
    <w:multiLevelType w:val="multilevel"/>
    <w:tmpl w:val="AAD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342233"/>
    <w:multiLevelType w:val="multilevel"/>
    <w:tmpl w:val="526A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1964E1"/>
    <w:multiLevelType w:val="multilevel"/>
    <w:tmpl w:val="8CE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11"/>
  </w:num>
  <w:num w:numId="5">
    <w:abstractNumId w:val="16"/>
  </w:num>
  <w:num w:numId="6">
    <w:abstractNumId w:val="14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  <w:num w:numId="17">
    <w:abstractNumId w:val="18"/>
  </w:num>
  <w:num w:numId="18">
    <w:abstractNumId w:val="15"/>
  </w:num>
  <w:num w:numId="19">
    <w:abstractNumId w:val="20"/>
  </w:num>
  <w:num w:numId="20">
    <w:abstractNumId w:val="1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03C1C"/>
    <w:rsid w:val="00003520"/>
    <w:rsid w:val="000051B0"/>
    <w:rsid w:val="00020783"/>
    <w:rsid w:val="000213B2"/>
    <w:rsid w:val="00033793"/>
    <w:rsid w:val="00036002"/>
    <w:rsid w:val="00037CE3"/>
    <w:rsid w:val="00056538"/>
    <w:rsid w:val="00063986"/>
    <w:rsid w:val="00074BD5"/>
    <w:rsid w:val="00080857"/>
    <w:rsid w:val="000939BF"/>
    <w:rsid w:val="00097CAF"/>
    <w:rsid w:val="000A1FBD"/>
    <w:rsid w:val="000A22A0"/>
    <w:rsid w:val="000C0693"/>
    <w:rsid w:val="000C2CC3"/>
    <w:rsid w:val="000E4420"/>
    <w:rsid w:val="000F01E9"/>
    <w:rsid w:val="000F6E6A"/>
    <w:rsid w:val="00131894"/>
    <w:rsid w:val="00140214"/>
    <w:rsid w:val="00147A52"/>
    <w:rsid w:val="00150C58"/>
    <w:rsid w:val="001554D5"/>
    <w:rsid w:val="00162C2C"/>
    <w:rsid w:val="00177299"/>
    <w:rsid w:val="001846AD"/>
    <w:rsid w:val="001909C7"/>
    <w:rsid w:val="00196FB0"/>
    <w:rsid w:val="001974B9"/>
    <w:rsid w:val="001B20B0"/>
    <w:rsid w:val="001D2288"/>
    <w:rsid w:val="001D4F12"/>
    <w:rsid w:val="001E5E03"/>
    <w:rsid w:val="002072CA"/>
    <w:rsid w:val="002128C1"/>
    <w:rsid w:val="00214930"/>
    <w:rsid w:val="00230F31"/>
    <w:rsid w:val="00251E21"/>
    <w:rsid w:val="002573BB"/>
    <w:rsid w:val="002710BB"/>
    <w:rsid w:val="00276DEB"/>
    <w:rsid w:val="002A0E56"/>
    <w:rsid w:val="002B0E39"/>
    <w:rsid w:val="002B4896"/>
    <w:rsid w:val="002D5F65"/>
    <w:rsid w:val="002F6102"/>
    <w:rsid w:val="00305A21"/>
    <w:rsid w:val="00306A6F"/>
    <w:rsid w:val="0031731E"/>
    <w:rsid w:val="0032364C"/>
    <w:rsid w:val="00324391"/>
    <w:rsid w:val="003348E4"/>
    <w:rsid w:val="003459FC"/>
    <w:rsid w:val="003531B8"/>
    <w:rsid w:val="00356421"/>
    <w:rsid w:val="003718F0"/>
    <w:rsid w:val="0038368C"/>
    <w:rsid w:val="003A20E6"/>
    <w:rsid w:val="003B0EE3"/>
    <w:rsid w:val="003D2BEB"/>
    <w:rsid w:val="003D3E5F"/>
    <w:rsid w:val="003D6ED9"/>
    <w:rsid w:val="003E6FBB"/>
    <w:rsid w:val="003F1EBD"/>
    <w:rsid w:val="00410267"/>
    <w:rsid w:val="00411A61"/>
    <w:rsid w:val="004207E7"/>
    <w:rsid w:val="0043255C"/>
    <w:rsid w:val="004855F3"/>
    <w:rsid w:val="00487359"/>
    <w:rsid w:val="00494934"/>
    <w:rsid w:val="004D44BE"/>
    <w:rsid w:val="004E0A54"/>
    <w:rsid w:val="004E3EE7"/>
    <w:rsid w:val="004F4A52"/>
    <w:rsid w:val="00503C1C"/>
    <w:rsid w:val="0050610C"/>
    <w:rsid w:val="00513CA0"/>
    <w:rsid w:val="00517C0A"/>
    <w:rsid w:val="005234BE"/>
    <w:rsid w:val="00523EED"/>
    <w:rsid w:val="00537B47"/>
    <w:rsid w:val="00551C22"/>
    <w:rsid w:val="005A22E1"/>
    <w:rsid w:val="005A6606"/>
    <w:rsid w:val="005C4927"/>
    <w:rsid w:val="005D7462"/>
    <w:rsid w:val="005E0136"/>
    <w:rsid w:val="005E03C1"/>
    <w:rsid w:val="005F6247"/>
    <w:rsid w:val="005F7857"/>
    <w:rsid w:val="00606BC9"/>
    <w:rsid w:val="00611CEB"/>
    <w:rsid w:val="0061245A"/>
    <w:rsid w:val="00622AF8"/>
    <w:rsid w:val="00623CA2"/>
    <w:rsid w:val="0063095C"/>
    <w:rsid w:val="006320F2"/>
    <w:rsid w:val="006543B1"/>
    <w:rsid w:val="00654DAE"/>
    <w:rsid w:val="00670D18"/>
    <w:rsid w:val="00673AA9"/>
    <w:rsid w:val="006806F3"/>
    <w:rsid w:val="00685C2F"/>
    <w:rsid w:val="006A140E"/>
    <w:rsid w:val="006A1C05"/>
    <w:rsid w:val="006B29BA"/>
    <w:rsid w:val="00701B2D"/>
    <w:rsid w:val="007022AC"/>
    <w:rsid w:val="00703009"/>
    <w:rsid w:val="00707C79"/>
    <w:rsid w:val="00723644"/>
    <w:rsid w:val="0073610B"/>
    <w:rsid w:val="00740710"/>
    <w:rsid w:val="00750E1B"/>
    <w:rsid w:val="0076611F"/>
    <w:rsid w:val="007661C8"/>
    <w:rsid w:val="00780286"/>
    <w:rsid w:val="00797FDB"/>
    <w:rsid w:val="007A1F18"/>
    <w:rsid w:val="007A3C22"/>
    <w:rsid w:val="007B290A"/>
    <w:rsid w:val="007D6D5B"/>
    <w:rsid w:val="007F6CF9"/>
    <w:rsid w:val="0080408C"/>
    <w:rsid w:val="00811F91"/>
    <w:rsid w:val="00824ED9"/>
    <w:rsid w:val="00840861"/>
    <w:rsid w:val="00853054"/>
    <w:rsid w:val="008662B2"/>
    <w:rsid w:val="00876F6E"/>
    <w:rsid w:val="008858F3"/>
    <w:rsid w:val="008919C0"/>
    <w:rsid w:val="0089339C"/>
    <w:rsid w:val="008A092A"/>
    <w:rsid w:val="008A2076"/>
    <w:rsid w:val="008B101C"/>
    <w:rsid w:val="008C16F8"/>
    <w:rsid w:val="008E4841"/>
    <w:rsid w:val="00912F0B"/>
    <w:rsid w:val="009356E6"/>
    <w:rsid w:val="0093752C"/>
    <w:rsid w:val="009537DE"/>
    <w:rsid w:val="009642A1"/>
    <w:rsid w:val="009B337B"/>
    <w:rsid w:val="009C2C17"/>
    <w:rsid w:val="009E05F4"/>
    <w:rsid w:val="009F7ED9"/>
    <w:rsid w:val="00A0693C"/>
    <w:rsid w:val="00A364F0"/>
    <w:rsid w:val="00A44EF5"/>
    <w:rsid w:val="00A628EA"/>
    <w:rsid w:val="00A85761"/>
    <w:rsid w:val="00AA2CE6"/>
    <w:rsid w:val="00AA3CB4"/>
    <w:rsid w:val="00AA4950"/>
    <w:rsid w:val="00AB4606"/>
    <w:rsid w:val="00AC06CE"/>
    <w:rsid w:val="00AC68D0"/>
    <w:rsid w:val="00AD2C84"/>
    <w:rsid w:val="00AF2DA0"/>
    <w:rsid w:val="00AF78D8"/>
    <w:rsid w:val="00B25ACD"/>
    <w:rsid w:val="00B367EC"/>
    <w:rsid w:val="00B36E99"/>
    <w:rsid w:val="00B47E7E"/>
    <w:rsid w:val="00B65DAA"/>
    <w:rsid w:val="00B67BF4"/>
    <w:rsid w:val="00B778B7"/>
    <w:rsid w:val="00BB4E47"/>
    <w:rsid w:val="00BE0EF1"/>
    <w:rsid w:val="00C2037E"/>
    <w:rsid w:val="00C25981"/>
    <w:rsid w:val="00C32CEB"/>
    <w:rsid w:val="00C52728"/>
    <w:rsid w:val="00C679C1"/>
    <w:rsid w:val="00C70934"/>
    <w:rsid w:val="00CB225C"/>
    <w:rsid w:val="00CB5728"/>
    <w:rsid w:val="00CD30A1"/>
    <w:rsid w:val="00CE0150"/>
    <w:rsid w:val="00CF3998"/>
    <w:rsid w:val="00D03D9F"/>
    <w:rsid w:val="00D056E5"/>
    <w:rsid w:val="00D3668A"/>
    <w:rsid w:val="00D419DF"/>
    <w:rsid w:val="00D44B2F"/>
    <w:rsid w:val="00D51DB3"/>
    <w:rsid w:val="00D823C2"/>
    <w:rsid w:val="00D85792"/>
    <w:rsid w:val="00D85B43"/>
    <w:rsid w:val="00D90FB5"/>
    <w:rsid w:val="00DA13AA"/>
    <w:rsid w:val="00DD51AE"/>
    <w:rsid w:val="00DF0FE6"/>
    <w:rsid w:val="00E22DBF"/>
    <w:rsid w:val="00E371A2"/>
    <w:rsid w:val="00E44CDF"/>
    <w:rsid w:val="00E6081D"/>
    <w:rsid w:val="00E6402E"/>
    <w:rsid w:val="00E70C69"/>
    <w:rsid w:val="00E85082"/>
    <w:rsid w:val="00E97267"/>
    <w:rsid w:val="00ED46F7"/>
    <w:rsid w:val="00F14800"/>
    <w:rsid w:val="00F164F3"/>
    <w:rsid w:val="00F2029E"/>
    <w:rsid w:val="00F23BF3"/>
    <w:rsid w:val="00F24567"/>
    <w:rsid w:val="00F2524F"/>
    <w:rsid w:val="00F40723"/>
    <w:rsid w:val="00F439F6"/>
    <w:rsid w:val="00F45774"/>
    <w:rsid w:val="00F83F61"/>
    <w:rsid w:val="00FA0AF1"/>
    <w:rsid w:val="00FA147C"/>
    <w:rsid w:val="00FA35D4"/>
    <w:rsid w:val="00FE2CFD"/>
    <w:rsid w:val="00FF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ED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uiPriority w:val="22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2072CA"/>
    <w:pPr>
      <w:ind w:left="720"/>
      <w:contextualSpacing/>
    </w:pPr>
  </w:style>
  <w:style w:type="table" w:styleId="Tablaconcuadrcula">
    <w:name w:val="Table Grid"/>
    <w:basedOn w:val="Tablanormal"/>
    <w:rsid w:val="003D2B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8919C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7022A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unhideWhenUsed/>
    <w:rsid w:val="009356E6"/>
    <w:pPr>
      <w:spacing w:before="100" w:beforeAutospacing="1" w:after="100" w:afterAutospacing="1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31731E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ED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F439F6"/>
    <w:rPr>
      <w:i/>
      <w:iCs/>
    </w:rPr>
  </w:style>
  <w:style w:type="character" w:customStyle="1" w:styleId="whitespace-normal">
    <w:name w:val="whitespace-normal"/>
    <w:basedOn w:val="Fuentedeprrafopredeter"/>
    <w:rsid w:val="00CD3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E1A9-FA83-47ED-8840-AB39E29A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1633</TotalTime>
  <Pages>8</Pages>
  <Words>2048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Cátedra CLHST</vt:lpstr>
    </vt:vector>
  </TitlesOfParts>
  <Company>UTN-UARQTA</Company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Cátedra CLHST</dc:title>
  <dc:creator>Carreras Cortas</dc:creator>
  <cp:lastModifiedBy>Educacion4.0</cp:lastModifiedBy>
  <cp:revision>29</cp:revision>
  <cp:lastPrinted>2014-05-20T00:02:00Z</cp:lastPrinted>
  <dcterms:created xsi:type="dcterms:W3CDTF">2018-12-27T23:25:00Z</dcterms:created>
  <dcterms:modified xsi:type="dcterms:W3CDTF">2026-03-06T18:49:00Z</dcterms:modified>
</cp:coreProperties>
</file>